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0"/>
      </w:pPr>
    </w:p>
    <w:p>
      <w:pPr>
        <w:spacing w:after="60"/>
      </w:pPr>
      <w:r>
        <w:rPr>
          <w:b/>
          <w:bCs/>
          <w:color w:val="2E5C8A"/>
          <w:spacing w:val="60"/>
          <w:sz w:val="22"/>
          <w:szCs w:val="22"/>
        </w:rPr>
        <w:t xml:space="preserve">FINANCE MODEL</w:t>
      </w:r>
    </w:p>
    <w:p>
      <w:pPr>
        <w:pBdr>
          <w:bottom w:val="single" w:color="1F3864" w:sz="12" w:space="12"/>
        </w:pBdr>
        <w:spacing w:after="200"/>
      </w:pPr>
      <w:r>
        <w:rPr>
          <w:b/>
          <w:bCs/>
          <w:color w:val="1F3864"/>
          <w:sz w:val="52"/>
          <w:szCs w:val="52"/>
        </w:rPr>
        <w:t xml:space="preserve">QA Requirements &amp; Testing Reference</w:t>
      </w:r>
    </w:p>
    <w:p>
      <w:pPr>
        <w:spacing w:after="700"/>
      </w:pPr>
      <w:r>
        <w:rPr>
          <w:color w:val="44546A"/>
          <w:sz w:val="24"/>
          <w:szCs w:val="24"/>
        </w:rPr>
        <w:t xml:space="preserve">Everything a QA engineer needs to understand the system and begin testing it independently.</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000"/>
        <w:gridCol w:w="7360"/>
      </w:tblGrid>
      <w:tr>
        <w:tc>
          <w:tcPr>
            <w:tcW w:type="dxa" w:w="2000"/>
            <w:shd w:fill="EDF2F8" w:val="clear"/>
            <w:tcMar>
              <w:top w:type="dxa" w:w="70"/>
              <w:left w:type="dxa" w:w="110"/>
              <w:bottom w:type="dxa" w:w="70"/>
              <w:right w:type="dxa" w:w="110"/>
            </w:tcMar>
          </w:tcPr>
          <w:p>
            <w:pPr>
              <w:spacing w:after="0"/>
            </w:pPr>
            <w:r>
              <w:rPr>
                <w:b/>
                <w:bCs/>
                <w:i w:val="false"/>
                <w:iCs w:val="false"/>
                <w:color w:val="000000"/>
                <w:sz w:val="18"/>
                <w:szCs w:val="18"/>
              </w:rPr>
              <w:t xml:space="preserve">Product</w:t>
            </w:r>
          </w:p>
        </w:tc>
        <w:tc>
          <w:tcPr>
            <w:tcW w:type="dxa" w:w="73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Finance Model — multi-company integrated three-statement financial forecasting</w:t>
            </w:r>
          </w:p>
        </w:tc>
      </w:tr>
      <w:tr>
        <w:tc>
          <w:tcPr>
            <w:tcW w:type="dxa" w:w="2000"/>
            <w:shd w:fill="EDF2F8" w:val="clear"/>
            <w:tcMar>
              <w:top w:type="dxa" w:w="70"/>
              <w:left w:type="dxa" w:w="110"/>
              <w:bottom w:type="dxa" w:w="70"/>
              <w:right w:type="dxa" w:w="110"/>
            </w:tcMar>
          </w:tcPr>
          <w:p>
            <w:pPr>
              <w:spacing w:after="0"/>
            </w:pPr>
            <w:r>
              <w:rPr>
                <w:b/>
                <w:bCs/>
                <w:i w:val="false"/>
                <w:iCs w:val="false"/>
                <w:color w:val="000000"/>
                <w:sz w:val="18"/>
                <w:szCs w:val="18"/>
              </w:rPr>
              <w:t xml:space="preserve">Version</w:t>
            </w:r>
          </w:p>
        </w:tc>
        <w:tc>
          <w:tcPr>
            <w:tcW w:type="dxa" w:w="73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V2.5</w:t>
            </w:r>
          </w:p>
        </w:tc>
      </w:tr>
      <w:tr>
        <w:tc>
          <w:tcPr>
            <w:tcW w:type="dxa" w:w="2000"/>
            <w:shd w:fill="EDF2F8" w:val="clear"/>
            <w:tcMar>
              <w:top w:type="dxa" w:w="70"/>
              <w:left w:type="dxa" w:w="110"/>
              <w:bottom w:type="dxa" w:w="70"/>
              <w:right w:type="dxa" w:w="110"/>
            </w:tcMar>
          </w:tcPr>
          <w:p>
            <w:pPr>
              <w:spacing w:after="0"/>
            </w:pPr>
            <w:r>
              <w:rPr>
                <w:b/>
                <w:bCs/>
                <w:i w:val="false"/>
                <w:iCs w:val="false"/>
                <w:color w:val="000000"/>
                <w:sz w:val="18"/>
                <w:szCs w:val="18"/>
              </w:rPr>
              <w:t xml:space="preserve">Technology</w:t>
            </w:r>
          </w:p>
        </w:tc>
        <w:tc>
          <w:tcPr>
            <w:tcW w:type="dxa" w:w="73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Node.js · Express · EJS · MySQL. Server-rendered pages; no separate front end.</w:t>
            </w:r>
          </w:p>
        </w:tc>
      </w:tr>
      <w:tr>
        <w:tc>
          <w:tcPr>
            <w:tcW w:type="dxa" w:w="2000"/>
            <w:shd w:fill="EDF2F8" w:val="clear"/>
            <w:tcMar>
              <w:top w:type="dxa" w:w="70"/>
              <w:left w:type="dxa" w:w="110"/>
              <w:bottom w:type="dxa" w:w="70"/>
              <w:right w:type="dxa" w:w="110"/>
            </w:tcMar>
          </w:tcPr>
          <w:p>
            <w:pPr>
              <w:spacing w:after="0"/>
            </w:pPr>
            <w:r>
              <w:rPr>
                <w:b/>
                <w:bCs/>
                <w:i w:val="false"/>
                <w:iCs w:val="false"/>
                <w:color w:val="000000"/>
                <w:sz w:val="18"/>
                <w:szCs w:val="18"/>
              </w:rPr>
              <w:t xml:space="preserve">Document date</w:t>
            </w:r>
          </w:p>
        </w:tc>
        <w:tc>
          <w:tcPr>
            <w:tcW w:type="dxa" w:w="73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23 August 2026</w:t>
            </w:r>
          </w:p>
        </w:tc>
      </w:tr>
      <w:tr>
        <w:tc>
          <w:tcPr>
            <w:tcW w:type="dxa" w:w="2000"/>
            <w:shd w:fill="EDF2F8" w:val="clear"/>
            <w:tcMar>
              <w:top w:type="dxa" w:w="70"/>
              <w:left w:type="dxa" w:w="110"/>
              <w:bottom w:type="dxa" w:w="70"/>
              <w:right w:type="dxa" w:w="110"/>
            </w:tcMar>
          </w:tcPr>
          <w:p>
            <w:pPr>
              <w:spacing w:after="0"/>
            </w:pPr>
            <w:r>
              <w:rPr>
                <w:b/>
                <w:bCs/>
                <w:i w:val="false"/>
                <w:iCs w:val="false"/>
                <w:color w:val="000000"/>
                <w:sz w:val="18"/>
                <w:szCs w:val="18"/>
              </w:rPr>
              <w:t xml:space="preserve">Based on</w:t>
            </w:r>
          </w:p>
        </w:tc>
        <w:tc>
          <w:tcPr>
            <w:tcW w:type="dxa" w:w="73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actual implementation as it stands: source code, database schema, running application and the project's own test and audit suites.</w:t>
            </w:r>
          </w:p>
        </w:tc>
      </w:tr>
      <w:tr>
        <w:tc>
          <w:tcPr>
            <w:tcW w:type="dxa" w:w="2000"/>
            <w:shd w:fill="EDF2F8" w:val="clear"/>
            <w:tcMar>
              <w:top w:type="dxa" w:w="70"/>
              <w:left w:type="dxa" w:w="110"/>
              <w:bottom w:type="dxa" w:w="70"/>
              <w:right w:type="dxa" w:w="110"/>
            </w:tcMar>
          </w:tcPr>
          <w:p>
            <w:pPr>
              <w:spacing w:after="0"/>
            </w:pPr>
            <w:r>
              <w:rPr>
                <w:b/>
                <w:bCs/>
                <w:i w:val="false"/>
                <w:iCs w:val="false"/>
                <w:color w:val="000000"/>
                <w:sz w:val="18"/>
                <w:szCs w:val="18"/>
              </w:rPr>
              <w:t xml:space="preserve">Audience</w:t>
            </w:r>
          </w:p>
        </w:tc>
        <w:tc>
          <w:tcPr>
            <w:tcW w:type="dxa" w:w="73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 QA engineer with no previous knowledge of this project and no finance specialism.</w:t>
            </w:r>
          </w:p>
        </w:tc>
      </w:tr>
    </w:tbl>
    <w:p>
      <w:pPr>
        <w:spacing w:after="400"/>
      </w:pPr>
    </w:p>
    <w:tbl>
      <w:tblPr>
        <w:tblW w:type="dxa" w:w="9360"/>
        <w:tblBorders>
          <w:top w:val="single" w:color="D5DEE8" w:sz="2"/>
          <w:left w:val="single" w:color="2E5C8A" w:sz="12"/>
          <w:bottom w:val="single" w:color="D5DEE8" w:sz="2"/>
          <w:right w:val="single" w:color="D5DEE8" w:sz="2"/>
          <w:insideH w:val="none"/>
          <w:insideV w:val="none"/>
        </w:tblBorders>
      </w:tblPr>
      <w:tblGrid>
        <w:gridCol w:w="9360"/>
      </w:tblGrid>
      <w:tr>
        <w:tc>
          <w:tcPr>
            <w:tcW w:type="dxa" w:w="9360"/>
            <w:shd w:fill="EDF2F8" w:val="clear"/>
            <w:tcMar>
              <w:top w:type="dxa" w:w="120"/>
              <w:left w:type="dxa" w:w="180"/>
              <w:bottom w:type="dxa" w:w="120"/>
              <w:right w:type="dxa" w:w="180"/>
            </w:tcMar>
          </w:tcPr>
          <w:p>
            <w:pPr>
              <w:spacing w:after="60"/>
            </w:pPr>
            <w:r>
              <w:rPr>
                <w:b/>
                <w:bCs/>
                <w:color w:val="1F3864"/>
                <w:sz w:val="20"/>
                <w:szCs w:val="20"/>
              </w:rPr>
              <w:t xml:space="preserve">How to read this document</w:t>
            </w:r>
          </w:p>
          <w:p>
            <w:pPr>
              <w:spacing w:after="60"/>
            </w:pPr>
            <w:r>
              <w:rPr>
                <w:sz w:val="19"/>
                <w:szCs w:val="19"/>
              </w:rPr>
              <w:t xml:space="preserve">Section 1 explains what the system is and the finance vocabulary you need. Read it once, in full.</w:t>
            </w:r>
          </w:p>
          <w:p>
            <w:pPr>
              <w:spacing w:after="60"/>
            </w:pPr>
            <w:r>
              <w:rPr>
                <w:sz w:val="19"/>
                <w:szCs w:val="19"/>
              </w:rPr>
              <w:t xml:space="preserve">Section 2 is the reference for every page and every field. Use it while testing, not before.</w:t>
            </w:r>
          </w:p>
          <w:p>
            <w:pPr>
              <w:spacing w:after="60"/>
            </w:pPr>
            <w:r>
              <w:rPr>
                <w:sz w:val="19"/>
                <w:szCs w:val="19"/>
              </w:rPr>
              <w:t xml:space="preserve">Section 3 gives every calculation with a worked example you can check on a calculator.</w:t>
            </w:r>
          </w:p>
          <w:p>
            <w:pPr>
              <w:spacing w:after="60"/>
            </w:pPr>
            <w:r>
              <w:rPr>
                <w:sz w:val="19"/>
                <w:szCs w:val="19"/>
              </w:rPr>
              <w:t xml:space="preserve">Sections 4 and 5 cover the rules, the workflows and the cross-cutting functionality.</w:t>
            </w:r>
          </w:p>
          <w:p>
            <w:pPr>
              <w:spacing w:after="60"/>
            </w:pPr>
            <w:r>
              <w:rPr>
                <w:sz w:val="19"/>
                <w:szCs w:val="19"/>
              </w:rPr>
              <w:t xml:space="preserve">Section 6 is your test plan: what to test, in what order, with what data.</w:t>
            </w:r>
          </w:p>
          <w:p>
            <w:pPr>
              <w:spacing w:after="0"/>
            </w:pPr>
            <w:r>
              <w:rPr>
                <w:sz w:val="19"/>
                <w:szCs w:val="19"/>
              </w:rPr>
              <w:t xml:space="preserve">Section 7 lists what is broken and what nobody has decided yet. Read it before you write a single test case — it will stop you raising defects that are open questions, and stop you passing behaviour that is wrong.</w:t>
            </w:r>
          </w:p>
        </w:tc>
      </w:tr>
    </w:tbl>
    <w:p>
      <w:pPr>
        <w:spacing w:after="300"/>
      </w:pPr>
    </w:p>
    <w:tbl>
      <w:tblPr>
        <w:tblW w:type="dxa" w:w="9360"/>
        <w:tblBorders>
          <w:top w:val="single" w:color="D5DEE8" w:sz="2"/>
          <w:left w:val="single" w:color="2E8B57" w:sz="12"/>
          <w:bottom w:val="single" w:color="D5DEE8" w:sz="2"/>
          <w:right w:val="single" w:color="D5DEE8" w:sz="2"/>
          <w:insideH w:val="none"/>
          <w:insideV w:val="none"/>
        </w:tblBorders>
      </w:tblPr>
      <w:tblGrid>
        <w:gridCol w:w="9360"/>
      </w:tblGrid>
      <w:tr>
        <w:tc>
          <w:tcPr>
            <w:tcW w:type="dxa" w:w="9360"/>
            <w:shd w:fill="EAF6EC" w:val="clear"/>
            <w:tcMar>
              <w:top w:type="dxa" w:w="120"/>
              <w:left w:type="dxa" w:w="180"/>
              <w:bottom w:type="dxa" w:w="120"/>
              <w:right w:type="dxa" w:w="180"/>
            </w:tcMar>
          </w:tcPr>
          <w:p>
            <w:pPr>
              <w:spacing w:after="60"/>
            </w:pPr>
            <w:r>
              <w:rPr>
                <w:b/>
                <w:bCs/>
                <w:color w:val="1F3864"/>
                <w:sz w:val="20"/>
                <w:szCs w:val="20"/>
              </w:rPr>
              <w:t xml:space="preserve">The three labels used throughout</w:t>
            </w:r>
          </w:p>
          <w:p>
            <w:pPr>
              <w:spacing w:after="60"/>
            </w:pPr>
            <w:r>
              <w:rPr>
                <w:sz w:val="19"/>
                <w:szCs w:val="19"/>
              </w:rPr>
              <w:t xml:space="preserve">CONFIRMED — verified against the source code, and where possible reproduced on the running application. Test against it.</w:t>
            </w:r>
          </w:p>
          <w:p>
            <w:pPr>
              <w:spacing w:after="60"/>
            </w:pPr>
            <w:r>
              <w:rPr>
                <w:sz w:val="19"/>
                <w:szCs w:val="19"/>
              </w:rPr>
              <w:t xml:space="preserve">NEEDS BUSINESS CONFIRMATION — the code is unambiguous, but whether it is the intended rule could not be established. Do not write a pass/fail expectation yet.</w:t>
            </w:r>
          </w:p>
          <w:p>
            <w:pPr>
              <w:spacing w:after="0"/>
            </w:pPr>
            <w:r>
              <w:rPr>
                <w:sz w:val="19"/>
                <w:szCs w:val="19"/>
              </w:rPr>
              <w:t xml:space="preserve">MISSING / UNDEFINED — the capability is absent and nothing states what was intended. Nothing to test; raise it instead.</w:t>
            </w:r>
          </w:p>
        </w:tc>
      </w:tr>
    </w:tbl>
    <w:p>
      <w:r>
        <w:br w:type="page"/>
      </w:r>
    </w:p>
    <w:p>
      <w:pPr>
        <w:pBdr>
          <w:bottom w:val="single" w:color="1F3864" w:sz="8" w:space="8"/>
        </w:pBdr>
        <w:spacing w:after="240"/>
      </w:pPr>
      <w:r>
        <w:rPr>
          <w:b/>
          <w:bCs/>
          <w:color w:val="1F3864"/>
          <w:sz w:val="36"/>
          <w:szCs w:val="36"/>
        </w:rPr>
        <w:t xml:space="preserve">Contents</w:t>
      </w:r>
    </w:p>
    <w:sdt>
      <w:sdtPr>
        <w:alias w:val="Contents"/>
      </w:sdtPr>
      <w:sdtContent>
        <w:p>
          <w:r>
            <w:fldChar w:fldCharType="begin" w:dirty="true"/>
            <w:instrText xml:space="preserve">TOC \h \o "1-2"</w:instrText>
            <w:fldChar w:fldCharType="separate"/>
          </w:r>
        </w:p>
        <w:p>
          <w:r>
            <w:fldChar w:fldCharType="end"/>
          </w:r>
        </w:p>
      </w:sdtContent>
    </w:sdt>
    <w:p>
      <w:r>
        <w:br w:type="page"/>
      </w:r>
    </w:p>
    <w:p>
      <w:pPr>
        <w:pStyle w:val="Heading1"/>
        <w:spacing w:after="160" w:before="360"/>
      </w:pPr>
      <w:r>
        <w:t xml:space="preserve">1. System Overview</w:t>
      </w:r>
    </w:p>
    <w:p>
      <w:pPr>
        <w:pStyle w:val="Heading2"/>
        <w:spacing w:after="120" w:before="280"/>
      </w:pPr>
      <w:r>
        <w:t xml:space="preserve">1.1  What the system is</w:t>
      </w:r>
    </w:p>
    <w:p>
      <w:pPr>
        <w:spacing w:after="120"/>
      </w:pPr>
      <w:r>
        <w:rPr>
          <w:b w:val="false"/>
          <w:bCs w:val="false"/>
          <w:i w:val="false"/>
          <w:iCs w:val="false"/>
          <w:sz w:val="20"/>
          <w:szCs w:val="20"/>
        </w:rPr>
        <w:t xml:space="preserve">The Finance Model is a web application that turns a company's historical results and a set of forward-looking assumptions into a complete, self-consistent financial forecast. A user enters ten steps of input; the system produces an income statement, a cash flow statement, a balance sheet, a liquidity statement, ratios, a revenue mix, an initiative appraisal and a sensitivity analysis — all from a single calculation engine, all agreeing with one another.</w:t>
      </w:r>
    </w:p>
    <w:p>
      <w:pPr>
        <w:spacing w:after="120"/>
      </w:pPr>
      <w:r>
        <w:rPr>
          <w:b w:val="false"/>
          <w:bCs w:val="false"/>
          <w:i w:val="false"/>
          <w:iCs w:val="false"/>
          <w:sz w:val="20"/>
          <w:szCs w:val="20"/>
        </w:rPr>
        <w:t xml:space="preserve">It is multi-company (multi-tenant): each company signs in separately and can never see another company's data. Within a company there can be many independent "models" — a live plan, a board case, a bank case — each with its own inputs.</w:t>
      </w:r>
    </w:p>
    <w:p>
      <w:pPr>
        <w:spacing w:after="120"/>
      </w:pPr>
      <w:r>
        <w:rPr>
          <w:b w:val="false"/>
          <w:bCs w:val="false"/>
          <w:i w:val="false"/>
          <w:iCs w:val="false"/>
          <w:sz w:val="20"/>
          <w:szCs w:val="20"/>
        </w:rPr>
        <w:t xml:space="preserve">Technology: Node.js + Express, EJS server-rendered pages, MySQL. There is no separate front-end app and no JSON API for the model — every page is a normal HTML form post. Two file endpoints return CSV and XLSX.</w:t>
      </w:r>
    </w:p>
    <w:tbl>
      <w:tblPr>
        <w:tblW w:type="dxa" w:w="9360"/>
        <w:tblBorders>
          <w:top w:val="single" w:color="D5DEE8" w:sz="2"/>
          <w:left w:val="single" w:color="2E5C8A" w:sz="12"/>
          <w:bottom w:val="single" w:color="D5DEE8" w:sz="2"/>
          <w:right w:val="single" w:color="D5DEE8" w:sz="2"/>
          <w:insideH w:val="none"/>
          <w:insideV w:val="none"/>
        </w:tblBorders>
      </w:tblPr>
      <w:tblGrid>
        <w:gridCol w:w="9360"/>
      </w:tblGrid>
      <w:tr>
        <w:tc>
          <w:tcPr>
            <w:tcW w:type="dxa" w:w="9360"/>
            <w:shd w:fill="EDF2F8" w:val="clear"/>
            <w:tcMar>
              <w:top w:type="dxa" w:w="120"/>
              <w:left w:type="dxa" w:w="180"/>
              <w:bottom w:type="dxa" w:w="120"/>
              <w:right w:type="dxa" w:w="180"/>
            </w:tcMar>
          </w:tcPr>
          <w:p>
            <w:pPr>
              <w:spacing w:after="60"/>
            </w:pPr>
            <w:r>
              <w:rPr>
                <w:b/>
                <w:bCs/>
                <w:color w:val="1F3864"/>
                <w:sz w:val="20"/>
                <w:szCs w:val="20"/>
              </w:rPr>
              <w:t xml:space="preserve">The single most important thing to know</w:t>
            </w:r>
          </w:p>
          <w:p>
            <w:pPr>
              <w:spacing w:after="60"/>
            </w:pPr>
            <w:r>
              <w:rPr>
                <w:sz w:val="19"/>
                <w:szCs w:val="19"/>
              </w:rPr>
              <w:t xml:space="preserve">The balance sheet is designed to balance automatically. Every balance-sheet line has a matching cash-flow movement, so if the OPENING balance sheet balances, every forecast year balances too.</w:t>
            </w:r>
          </w:p>
          <w:p>
            <w:pPr>
              <w:spacing w:after="0"/>
            </w:pPr>
            <w:r>
              <w:rPr>
                <w:sz w:val="19"/>
                <w:szCs w:val="19"/>
              </w:rPr>
              <w:t xml:space="preserve">That means: if you see an out-of-balance forecast, the cause is almost always the opening balance sheet (Input step 10) or the debt reconciliation (step 7 vs step 10) — not the year you are looking at.</w:t>
            </w:r>
          </w:p>
        </w:tc>
      </w:tr>
    </w:tbl>
    <w:p>
      <w:pPr>
        <w:spacing w:after="120"/>
      </w:pPr>
    </w:p>
    <w:p>
      <w:pPr>
        <w:pStyle w:val="Heading2"/>
        <w:spacing w:after="120" w:before="280"/>
      </w:pPr>
      <w:r>
        <w:t xml:space="preserve">1.2  Main modules and pages</w:t>
      </w:r>
    </w:p>
    <w:p>
      <w:pPr>
        <w:spacing w:after="120"/>
      </w:pPr>
      <w:r>
        <w:rPr>
          <w:b w:val="false"/>
          <w:bCs w:val="false"/>
          <w:i w:val="false"/>
          <w:iCs w:val="false"/>
          <w:sz w:val="20"/>
          <w:szCs w:val="20"/>
        </w:rPr>
        <w:t xml:space="preserve">Nine areas, reachable from the top navigation bar:</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500"/>
        <w:gridCol w:w="1900"/>
        <w:gridCol w:w="3660"/>
        <w:gridCol w:w="2300"/>
      </w:tblGrid>
      <w:tr>
        <w:trPr>
          <w:tblHeader/>
        </w:trPr>
        <w:tc>
          <w:tcPr>
            <w:tcW w:type="dxa" w:w="1500"/>
            <w:shd w:fill="1F3864" w:val="clear"/>
            <w:tcMar>
              <w:top w:type="dxa" w:w="70"/>
              <w:left w:type="dxa" w:w="110"/>
              <w:bottom w:type="dxa" w:w="70"/>
              <w:right w:type="dxa" w:w="110"/>
            </w:tcMar>
          </w:tcPr>
          <w:p>
            <w:pPr>
              <w:spacing w:after="0"/>
            </w:pPr>
            <w:r>
              <w:rPr>
                <w:b/>
                <w:bCs/>
                <w:i w:val="false"/>
                <w:iCs w:val="false"/>
                <w:color w:val="FFFFFF"/>
                <w:sz w:val="18"/>
                <w:szCs w:val="18"/>
              </w:rPr>
              <w:t xml:space="preserve">Area</w:t>
            </w:r>
          </w:p>
        </w:tc>
        <w:tc>
          <w:tcPr>
            <w:tcW w:type="dxa" w:w="1900"/>
            <w:shd w:fill="1F3864" w:val="clear"/>
            <w:tcMar>
              <w:top w:type="dxa" w:w="70"/>
              <w:left w:type="dxa" w:w="110"/>
              <w:bottom w:type="dxa" w:w="70"/>
              <w:right w:type="dxa" w:w="110"/>
            </w:tcMar>
          </w:tcPr>
          <w:p>
            <w:pPr>
              <w:spacing w:after="0"/>
            </w:pPr>
            <w:r>
              <w:rPr>
                <w:b/>
                <w:bCs/>
                <w:i w:val="false"/>
                <w:iCs w:val="false"/>
                <w:color w:val="FFFFFF"/>
                <w:sz w:val="18"/>
                <w:szCs w:val="18"/>
              </w:rPr>
              <w:t xml:space="preserve">URL</w:t>
            </w:r>
          </w:p>
        </w:tc>
        <w:tc>
          <w:tcPr>
            <w:tcW w:type="dxa" w:w="3660"/>
            <w:shd w:fill="1F3864" w:val="clear"/>
            <w:tcMar>
              <w:top w:type="dxa" w:w="70"/>
              <w:left w:type="dxa" w:w="110"/>
              <w:bottom w:type="dxa" w:w="70"/>
              <w:right w:type="dxa" w:w="110"/>
            </w:tcMar>
          </w:tcPr>
          <w:p>
            <w:pPr>
              <w:spacing w:after="0"/>
            </w:pPr>
            <w:r>
              <w:rPr>
                <w:b/>
                <w:bCs/>
                <w:i w:val="false"/>
                <w:iCs w:val="false"/>
                <w:color w:val="FFFFFF"/>
                <w:sz w:val="18"/>
                <w:szCs w:val="18"/>
              </w:rPr>
              <w:t xml:space="preserve">What it is for</w:t>
            </w:r>
          </w:p>
        </w:tc>
        <w:tc>
          <w:tcPr>
            <w:tcW w:type="dxa" w:w="2300"/>
            <w:shd w:fill="1F3864" w:val="clear"/>
            <w:tcMar>
              <w:top w:type="dxa" w:w="70"/>
              <w:left w:type="dxa" w:w="110"/>
              <w:bottom w:type="dxa" w:w="70"/>
              <w:right w:type="dxa" w:w="110"/>
            </w:tcMar>
          </w:tcPr>
          <w:p>
            <w:pPr>
              <w:spacing w:after="0"/>
            </w:pPr>
            <w:r>
              <w:rPr>
                <w:b/>
                <w:bCs/>
                <w:i w:val="false"/>
                <w:iCs w:val="false"/>
                <w:color w:val="FFFFFF"/>
                <w:sz w:val="18"/>
                <w:szCs w:val="18"/>
              </w:rPr>
              <w:t xml:space="preserve">Who can open it</w:t>
            </w:r>
          </w:p>
        </w:tc>
      </w:tr>
      <w:tr>
        <w:tc>
          <w:tcPr>
            <w:tcW w:type="dxa" w:w="1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Sign in</w:t>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/login</w:t>
            </w:r>
          </w:p>
        </w:tc>
        <w:tc>
          <w:tcPr>
            <w:tcW w:type="dxa" w:w="36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Company + email + password authentication.</w:t>
            </w:r>
          </w:p>
        </w:tc>
        <w:tc>
          <w:tcPr>
            <w:tcW w:type="dxa" w:w="23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Everyone</w:t>
            </w:r>
          </w:p>
        </w:tc>
      </w:tr>
      <w:tr>
        <w:tc>
          <w:tcPr>
            <w:tcW w:type="dxa" w:w="1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Models</w:t>
            </w:r>
          </w:p>
        </w:tc>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/models</w:t>
            </w:r>
          </w:p>
        </w:tc>
        <w:tc>
          <w:tcPr>
            <w:tcW w:type="dxa" w:w="36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Create, open, rename, duplicate, archive, close and delete models. Shows a completion percentage per model.</w:t>
            </w:r>
          </w:p>
        </w:tc>
        <w:tc>
          <w:tcPr>
            <w:tcW w:type="dxa" w:w="23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All signed-in roles except Super administrator</w:t>
            </w:r>
          </w:p>
        </w:tc>
      </w:tr>
      <w:tr>
        <w:tc>
          <w:tcPr>
            <w:tcW w:type="dxa" w:w="1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Model settings</w:t>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/models/:id/settings</w:t>
            </w:r>
          </w:p>
        </w:tc>
        <w:tc>
          <w:tcPr>
            <w:tcW w:type="dxa" w:w="36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Model name, currency, first forecast year, number of historical and forecast years.</w:t>
            </w:r>
          </w:p>
        </w:tc>
        <w:tc>
          <w:tcPr>
            <w:tcW w:type="dxa" w:w="23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Same (editing needs Edit rights)</w:t>
            </w:r>
          </w:p>
        </w:tc>
      </w:tr>
      <w:tr>
        <w:tc>
          <w:tcPr>
            <w:tcW w:type="dxa" w:w="1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Inputs</w:t>
            </w:r>
          </w:p>
        </w:tc>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/inputs/1 … /inputs/10</w:t>
            </w:r>
          </w:p>
        </w:tc>
        <w:tc>
          <w:tcPr>
            <w:tcW w:type="dxa" w:w="36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ten-step data-entry wizard. This is where the forecast is built.</w:t>
            </w:r>
          </w:p>
        </w:tc>
        <w:tc>
          <w:tcPr>
            <w:tcW w:type="dxa" w:w="23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Administrator, Model manager, Analyst (Analyst read-only)</w:t>
            </w:r>
          </w:p>
        </w:tc>
      </w:tr>
      <w:tr>
        <w:tc>
          <w:tcPr>
            <w:tcW w:type="dxa" w:w="1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Outputs</w:t>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/outputs/…</w:t>
            </w:r>
          </w:p>
        </w:tc>
        <w:tc>
          <w:tcPr>
            <w:tcW w:type="dxa" w:w="36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Ten reporting screens produced from the inputs.</w:t>
            </w:r>
          </w:p>
        </w:tc>
        <w:tc>
          <w:tcPr>
            <w:tcW w:type="dxa" w:w="23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All roles except Super administrator</w:t>
            </w:r>
          </w:p>
        </w:tc>
      </w:tr>
      <w:tr>
        <w:tc>
          <w:tcPr>
            <w:tcW w:type="dxa" w:w="1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Model comparison</w:t>
            </w:r>
          </w:p>
        </w:tc>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/compare</w:t>
            </w:r>
          </w:p>
        </w:tc>
        <w:tc>
          <w:tcPr>
            <w:tcW w:type="dxa" w:w="36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Line up two to four models side by side with the deviation between them.</w:t>
            </w:r>
          </w:p>
        </w:tc>
        <w:tc>
          <w:tcPr>
            <w:tcW w:type="dxa" w:w="23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All roles except Super administrator</w:t>
            </w:r>
          </w:p>
        </w:tc>
      </w:tr>
      <w:tr>
        <w:tc>
          <w:tcPr>
            <w:tcW w:type="dxa" w:w="1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Report</w:t>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/report</w:t>
            </w:r>
          </w:p>
        </w:tc>
        <w:tc>
          <w:tcPr>
            <w:tcW w:type="dxa" w:w="36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printable pack: choose which statements to include.</w:t>
            </w:r>
          </w:p>
        </w:tc>
        <w:tc>
          <w:tcPr>
            <w:tcW w:type="dxa" w:w="23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All roles except Super administrator</w:t>
            </w:r>
          </w:p>
        </w:tc>
      </w:tr>
      <w:tr>
        <w:tc>
          <w:tcPr>
            <w:tcW w:type="dxa" w:w="1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Data import</w:t>
            </w:r>
          </w:p>
        </w:tc>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/data</w:t>
            </w:r>
          </w:p>
        </w:tc>
        <w:tc>
          <w:tcPr>
            <w:tcW w:type="dxa" w:w="36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Download spreadsheet templates, upload filled-in ones, configure ERP connections, approve or reject staged imports.</w:t>
            </w:r>
          </w:p>
        </w:tc>
        <w:tc>
          <w:tcPr>
            <w:tcW w:type="dxa" w:w="23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Administrator, Model manager, Analyst (Analyst read-only)</w:t>
            </w:r>
          </w:p>
        </w:tc>
      </w:tr>
      <w:tr>
        <w:tc>
          <w:tcPr>
            <w:tcW w:type="dxa" w:w="1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Account &amp; access</w:t>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/account</w:t>
            </w:r>
          </w:p>
        </w:tc>
        <w:tc>
          <w:tcPr>
            <w:tcW w:type="dxa" w:w="36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Read-only: role definitions, who has access, recent change log.</w:t>
            </w:r>
          </w:p>
        </w:tc>
        <w:tc>
          <w:tcPr>
            <w:tcW w:type="dxa" w:w="23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Everyone signed in</w:t>
            </w:r>
          </w:p>
        </w:tc>
      </w:tr>
      <w:tr>
        <w:tc>
          <w:tcPr>
            <w:tcW w:type="dxa" w:w="1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Administration</w:t>
            </w:r>
          </w:p>
        </w:tc>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/admin/companies, /admin/users</w:t>
            </w:r>
          </w:p>
        </w:tc>
        <w:tc>
          <w:tcPr>
            <w:tcW w:type="dxa" w:w="36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Create companies, create users, set roles, reset passwords, upload logos.</w:t>
            </w:r>
          </w:p>
        </w:tc>
        <w:tc>
          <w:tcPr>
            <w:tcW w:type="dxa" w:w="2300"/>
            <w:shd w:fill="F7F9FC" w:val="clear"/>
            <w:tcMar>
              <w:top w:type="dxa" w:w="70"/>
              <w:left w:type="dxa" w:w="110"/>
              <w:bottom w:type="dxa" w:w="70"/>
              <w:right w:type="dxa" w:w="110"/>
            </w:tcMar>
          </w:tcPr>
          <w:p>
            <w:pPr>
              <w:spacing w:after="0"/>
            </w:pPr>
            <w:r>
              <w:rPr>
                <w:b/>
                <w:bCs/>
                <w:i w:val="false"/>
                <w:iCs w:val="false"/>
                <w:color w:val="000000"/>
                <w:sz w:val="18"/>
                <w:szCs w:val="18"/>
              </w:rPr>
              <w:t xml:space="preserve">Super administrator ONLY</w:t>
            </w:r>
          </w:p>
        </w:tc>
      </w:tr>
    </w:tbl>
    <w:p>
      <w:pPr>
        <w:spacing w:after="120"/>
      </w:pPr>
    </w:p>
    <w:p>
      <w:pPr>
        <w:pStyle w:val="Heading3"/>
        <w:spacing w:after="100" w:before="220"/>
      </w:pPr>
      <w:r>
        <w:t xml:space="preserve">The ten input steps</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420"/>
        <w:gridCol w:w="1300"/>
        <w:gridCol w:w="1900"/>
        <w:gridCol w:w="5740"/>
      </w:tblGrid>
      <w:tr>
        <w:trPr>
          <w:tblHeader/>
        </w:trPr>
        <w:tc>
          <w:tcPr>
            <w:tcW w:type="dxa" w:w="420"/>
            <w:shd w:fill="1F3864" w:val="clear"/>
            <w:tcMar>
              <w:top w:type="dxa" w:w="70"/>
              <w:left w:type="dxa" w:w="110"/>
              <w:bottom w:type="dxa" w:w="70"/>
              <w:right w:type="dxa" w:w="110"/>
            </w:tcMar>
          </w:tcPr>
          <w:p>
            <w:pPr>
              <w:spacing w:after="0"/>
            </w:pPr>
            <w:r>
              <w:rPr>
                <w:b/>
                <w:bCs/>
                <w:i w:val="false"/>
                <w:iCs w:val="false"/>
                <w:color w:val="FFFFFF"/>
                <w:sz w:val="18"/>
                <w:szCs w:val="18"/>
              </w:rPr>
              <w:t xml:space="preserve">#</w:t>
            </w:r>
          </w:p>
        </w:tc>
        <w:tc>
          <w:tcPr>
            <w:tcW w:type="dxa" w:w="1300"/>
            <w:shd w:fill="1F3864" w:val="clear"/>
            <w:tcMar>
              <w:top w:type="dxa" w:w="70"/>
              <w:left w:type="dxa" w:w="110"/>
              <w:bottom w:type="dxa" w:w="70"/>
              <w:right w:type="dxa" w:w="110"/>
            </w:tcMar>
          </w:tcPr>
          <w:p>
            <w:pPr>
              <w:spacing w:after="0"/>
            </w:pPr>
            <w:r>
              <w:rPr>
                <w:b/>
                <w:bCs/>
                <w:i w:val="false"/>
                <w:iCs w:val="false"/>
                <w:color w:val="FFFFFF"/>
                <w:sz w:val="18"/>
                <w:szCs w:val="18"/>
              </w:rPr>
              <w:t xml:space="preserve">URL</w:t>
            </w:r>
          </w:p>
        </w:tc>
        <w:tc>
          <w:tcPr>
            <w:tcW w:type="dxa" w:w="1900"/>
            <w:shd w:fill="1F3864" w:val="clear"/>
            <w:tcMar>
              <w:top w:type="dxa" w:w="70"/>
              <w:left w:type="dxa" w:w="110"/>
              <w:bottom w:type="dxa" w:w="70"/>
              <w:right w:type="dxa" w:w="110"/>
            </w:tcMar>
          </w:tcPr>
          <w:p>
            <w:pPr>
              <w:spacing w:after="0"/>
            </w:pPr>
            <w:r>
              <w:rPr>
                <w:b/>
                <w:bCs/>
                <w:i w:val="false"/>
                <w:iCs w:val="false"/>
                <w:color w:val="FFFFFF"/>
                <w:sz w:val="18"/>
                <w:szCs w:val="18"/>
              </w:rPr>
              <w:t xml:space="preserve">Step</w:t>
            </w:r>
          </w:p>
        </w:tc>
        <w:tc>
          <w:tcPr>
            <w:tcW w:type="dxa" w:w="5740"/>
            <w:shd w:fill="1F3864" w:val="clear"/>
            <w:tcMar>
              <w:top w:type="dxa" w:w="70"/>
              <w:left w:type="dxa" w:w="110"/>
              <w:bottom w:type="dxa" w:w="70"/>
              <w:right w:type="dxa" w:w="110"/>
            </w:tcMar>
          </w:tcPr>
          <w:p>
            <w:pPr>
              <w:spacing w:after="0"/>
            </w:pPr>
            <w:r>
              <w:rPr>
                <w:b/>
                <w:bCs/>
                <w:i w:val="false"/>
                <w:iCs w:val="false"/>
                <w:color w:val="FFFFFF"/>
                <w:sz w:val="18"/>
                <w:szCs w:val="18"/>
              </w:rPr>
              <w:t xml:space="preserve">What is entered</w:t>
            </w:r>
          </w:p>
        </w:tc>
      </w:tr>
      <w:tr>
        <w:tc>
          <w:tcPr>
            <w:tcW w:type="dxa" w:w="4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1</w:t>
            </w:r>
          </w:p>
        </w:tc>
        <w:tc>
          <w:tcPr>
            <w:tcW w:type="dxa" w:w="13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/inputs/1</w:t>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Business units</w:t>
            </w:r>
          </w:p>
        </w:tc>
        <w:tc>
          <w:tcPr>
            <w:tcW w:type="dxa" w:w="57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names of the product lines / segments the model tracks.</w:t>
            </w:r>
          </w:p>
        </w:tc>
      </w:tr>
      <w:tr>
        <w:tc>
          <w:tcPr>
            <w:tcW w:type="dxa" w:w="4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2</w:t>
            </w:r>
          </w:p>
        </w:tc>
        <w:tc>
          <w:tcPr>
            <w:tcW w:type="dxa" w:w="13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/inputs/2</w:t>
            </w:r>
          </w:p>
        </w:tc>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Timeline &amp; policy</w:t>
            </w:r>
          </w:p>
        </w:tc>
        <w:tc>
          <w:tcPr>
            <w:tcW w:type="dxa" w:w="57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Default scenario and segment, days in period, inflation per year, levies (zakat / tax), depreciation policy.</w:t>
            </w:r>
          </w:p>
        </w:tc>
      </w:tr>
      <w:tr>
        <w:tc>
          <w:tcPr>
            <w:tcW w:type="dxa" w:w="4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3</w:t>
            </w:r>
          </w:p>
        </w:tc>
        <w:tc>
          <w:tcPr>
            <w:tcW w:type="dxa" w:w="13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/inputs/3</w:t>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Working capital</w:t>
            </w:r>
          </w:p>
        </w:tc>
        <w:tc>
          <w:tcPr>
            <w:tcW w:type="dxa" w:w="57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Receivable, inventory, payable and accrual days per year; other current assets and liabilities.</w:t>
            </w:r>
          </w:p>
        </w:tc>
      </w:tr>
      <w:tr>
        <w:tc>
          <w:tcPr>
            <w:tcW w:type="dxa" w:w="4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4</w:t>
            </w:r>
          </w:p>
        </w:tc>
        <w:tc>
          <w:tcPr>
            <w:tcW w:type="dxa" w:w="13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/inputs/4</w:t>
            </w:r>
          </w:p>
        </w:tc>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Historical data</w:t>
            </w:r>
          </w:p>
        </w:tc>
        <w:tc>
          <w:tcPr>
            <w:tcW w:type="dxa" w:w="57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Closed-year revenue, cost of sales, S&amp;D, G&amp;A, depreciation and capex, per unit per year.</w:t>
            </w:r>
          </w:p>
        </w:tc>
      </w:tr>
      <w:tr>
        <w:tc>
          <w:tcPr>
            <w:tcW w:type="dxa" w:w="4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5</w:t>
            </w:r>
          </w:p>
        </w:tc>
        <w:tc>
          <w:tcPr>
            <w:tcW w:type="dxa" w:w="13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/inputs/5</w:t>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Growth drivers</w:t>
            </w:r>
          </w:p>
        </w:tc>
        <w:tc>
          <w:tcPr>
            <w:tcW w:type="dxa" w:w="57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Organic revenue growth %, per unit, per scenario, per forecast year.</w:t>
            </w:r>
          </w:p>
        </w:tc>
      </w:tr>
      <w:tr>
        <w:tc>
          <w:tcPr>
            <w:tcW w:type="dxa" w:w="4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6</w:t>
            </w:r>
          </w:p>
        </w:tc>
        <w:tc>
          <w:tcPr>
            <w:tcW w:type="dxa" w:w="13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/inputs/6</w:t>
            </w:r>
          </w:p>
        </w:tc>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Cost drivers</w:t>
            </w:r>
          </w:p>
        </w:tc>
        <w:tc>
          <w:tcPr>
            <w:tcW w:type="dxa" w:w="57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Variable cost ratios (% of revenue) and fixed cost amounts, per unit, per scenario, per year.</w:t>
            </w:r>
          </w:p>
        </w:tc>
      </w:tr>
      <w:tr>
        <w:tc>
          <w:tcPr>
            <w:tcW w:type="dxa" w:w="4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7</w:t>
            </w:r>
          </w:p>
        </w:tc>
        <w:tc>
          <w:tcPr>
            <w:tcW w:type="dxa" w:w="13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/inputs/7</w:t>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Debt &amp; financing</w:t>
            </w:r>
          </w:p>
        </w:tc>
        <w:tc>
          <w:tcPr>
            <w:tcW w:type="dxa" w:w="57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Every facility with rate and repayment schedule; provisions and dividends; revolver and distribution policy.</w:t>
            </w:r>
          </w:p>
        </w:tc>
      </w:tr>
      <w:tr>
        <w:tc>
          <w:tcPr>
            <w:tcW w:type="dxa" w:w="4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8</w:t>
            </w:r>
          </w:p>
        </w:tc>
        <w:tc>
          <w:tcPr>
            <w:tcW w:type="dxa" w:w="13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/inputs/8</w:t>
            </w:r>
          </w:p>
        </w:tc>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Strategic initiatives</w:t>
            </w:r>
          </w:p>
        </w:tc>
        <w:tc>
          <w:tcPr>
            <w:tcW w:type="dxa" w:w="57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Each initiative as its own mini P&amp;L, with a delivery probability per scenario.</w:t>
            </w:r>
          </w:p>
        </w:tc>
      </w:tr>
      <w:tr>
        <w:tc>
          <w:tcPr>
            <w:tcW w:type="dxa" w:w="4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9</w:t>
            </w:r>
          </w:p>
        </w:tc>
        <w:tc>
          <w:tcPr>
            <w:tcW w:type="dxa" w:w="13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/inputs/9</w:t>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Capital expenditure</w:t>
            </w:r>
          </w:p>
        </w:tc>
        <w:tc>
          <w:tcPr>
            <w:tcW w:type="dxa" w:w="57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Maintenance capex per year, plus an itemised asset register with IFRS classes and useful lives.</w:t>
            </w:r>
          </w:p>
        </w:tc>
      </w:tr>
      <w:tr>
        <w:tc>
          <w:tcPr>
            <w:tcW w:type="dxa" w:w="4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10</w:t>
            </w:r>
          </w:p>
        </w:tc>
        <w:tc>
          <w:tcPr>
            <w:tcW w:type="dxa" w:w="13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/inputs/10</w:t>
            </w:r>
          </w:p>
        </w:tc>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Opening balance sheet</w:t>
            </w:r>
          </w:p>
        </w:tc>
        <w:tc>
          <w:tcPr>
            <w:tcW w:type="dxa" w:w="57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complete opening position. Must balance before anything downstream is reliable.</w:t>
            </w:r>
          </w:p>
        </w:tc>
      </w:tr>
    </w:tbl>
    <w:p>
      <w:pPr>
        <w:spacing w:after="120"/>
      </w:pPr>
    </w:p>
    <w:p>
      <w:pPr>
        <w:pStyle w:val="Heading3"/>
        <w:spacing w:after="100" w:before="220"/>
      </w:pPr>
      <w:r>
        <w:t xml:space="preserve">The ten output screens</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200"/>
        <w:gridCol w:w="1500"/>
        <w:gridCol w:w="4560"/>
        <w:gridCol w:w="1100"/>
      </w:tblGrid>
      <w:tr>
        <w:trPr>
          <w:tblHeader/>
        </w:trPr>
        <w:tc>
          <w:tcPr>
            <w:tcW w:type="dxa" w:w="2200"/>
            <w:shd w:fill="1F3864" w:val="clear"/>
            <w:tcMar>
              <w:top w:type="dxa" w:w="70"/>
              <w:left w:type="dxa" w:w="110"/>
              <w:bottom w:type="dxa" w:w="70"/>
              <w:right w:type="dxa" w:w="110"/>
            </w:tcMar>
          </w:tcPr>
          <w:p>
            <w:pPr>
              <w:spacing w:after="0"/>
            </w:pPr>
            <w:r>
              <w:rPr>
                <w:b/>
                <w:bCs/>
                <w:i w:val="false"/>
                <w:iCs w:val="false"/>
                <w:color w:val="FFFFFF"/>
                <w:sz w:val="18"/>
                <w:szCs w:val="18"/>
              </w:rPr>
              <w:t xml:space="preserve">URL</w:t>
            </w:r>
          </w:p>
        </w:tc>
        <w:tc>
          <w:tcPr>
            <w:tcW w:type="dxa" w:w="1500"/>
            <w:shd w:fill="1F3864" w:val="clear"/>
            <w:tcMar>
              <w:top w:type="dxa" w:w="70"/>
              <w:left w:type="dxa" w:w="110"/>
              <w:bottom w:type="dxa" w:w="70"/>
              <w:right w:type="dxa" w:w="110"/>
            </w:tcMar>
          </w:tcPr>
          <w:p>
            <w:pPr>
              <w:spacing w:after="0"/>
            </w:pPr>
            <w:r>
              <w:rPr>
                <w:b/>
                <w:bCs/>
                <w:i w:val="false"/>
                <w:iCs w:val="false"/>
                <w:color w:val="FFFFFF"/>
                <w:sz w:val="18"/>
                <w:szCs w:val="18"/>
              </w:rPr>
              <w:t xml:space="preserve">Screen</w:t>
            </w:r>
          </w:p>
        </w:tc>
        <w:tc>
          <w:tcPr>
            <w:tcW w:type="dxa" w:w="4560"/>
            <w:shd w:fill="1F3864" w:val="clear"/>
            <w:tcMar>
              <w:top w:type="dxa" w:w="70"/>
              <w:left w:type="dxa" w:w="110"/>
              <w:bottom w:type="dxa" w:w="70"/>
              <w:right w:type="dxa" w:w="110"/>
            </w:tcMar>
          </w:tcPr>
          <w:p>
            <w:pPr>
              <w:spacing w:after="0"/>
            </w:pPr>
            <w:r>
              <w:rPr>
                <w:b/>
                <w:bCs/>
                <w:i w:val="false"/>
                <w:iCs w:val="false"/>
                <w:color w:val="FFFFFF"/>
                <w:sz w:val="18"/>
                <w:szCs w:val="18"/>
              </w:rPr>
              <w:t xml:space="preserve">What it shows</w:t>
            </w:r>
          </w:p>
        </w:tc>
        <w:tc>
          <w:tcPr>
            <w:tcW w:type="dxa" w:w="1100"/>
            <w:shd w:fill="1F3864" w:val="clear"/>
            <w:tcMar>
              <w:top w:type="dxa" w:w="70"/>
              <w:left w:type="dxa" w:w="110"/>
              <w:bottom w:type="dxa" w:w="70"/>
              <w:right w:type="dxa" w:w="110"/>
            </w:tcMar>
          </w:tcPr>
          <w:p>
            <w:pPr>
              <w:spacing w:after="0"/>
            </w:pPr>
            <w:r>
              <w:rPr>
                <w:b/>
                <w:bCs/>
                <w:i w:val="false"/>
                <w:iCs w:val="false"/>
                <w:color w:val="FFFFFF"/>
                <w:sz w:val="18"/>
                <w:szCs w:val="18"/>
              </w:rPr>
              <w:t xml:space="preserve">Unit selector?</w:t>
            </w:r>
          </w:p>
        </w:tc>
      </w:tr>
      <w:tr>
        <w:tc>
          <w:tcPr>
            <w:tcW w:type="dxa" w:w="2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/outputs/dashboard</w:t>
            </w:r>
          </w:p>
        </w:tc>
        <w:tc>
          <w:tcPr>
            <w:tcW w:type="dxa" w:w="1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Dashboard</w:t>
            </w:r>
          </w:p>
        </w:tc>
        <w:tc>
          <w:tcPr>
            <w:tcW w:type="dxa" w:w="45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Six KPI tiles and six charts: revenue split, EBITDA and net profit, cash flow by activity, cash and net debt, margin trend, working-capital cycle.</w:t>
            </w:r>
          </w:p>
        </w:tc>
        <w:tc>
          <w:tcPr>
            <w:tcW w:type="dxa" w:w="1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 — group only</w:t>
            </w:r>
          </w:p>
        </w:tc>
      </w:tr>
      <w:tr>
        <w:tc>
          <w:tcPr>
            <w:tcW w:type="dxa" w:w="2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/outputs/actual-analysis</w:t>
            </w:r>
          </w:p>
        </w:tc>
        <w:tc>
          <w:tcPr>
            <w:tcW w:type="dxa" w:w="1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Actual analysis</w:t>
            </w:r>
          </w:p>
        </w:tc>
        <w:tc>
          <w:tcPr>
            <w:tcW w:type="dxa" w:w="45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History only, no forecast assumptions. Trend, per-unit breakdown, implied working capital, and a bridge that flags cost ratios stepping more than 1 percentage point in the company's favour.</w:t>
            </w:r>
          </w:p>
        </w:tc>
        <w:tc>
          <w:tcPr>
            <w:tcW w:type="dxa" w:w="1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 — group only</w:t>
            </w:r>
          </w:p>
        </w:tc>
      </w:tr>
      <w:tr>
        <w:tc>
          <w:tcPr>
            <w:tcW w:type="dxa" w:w="2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/outputs/revenue-mix</w:t>
            </w:r>
          </w:p>
        </w:tc>
        <w:tc>
          <w:tcPr>
            <w:tcW w:type="dxa" w:w="1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Revenue mix</w:t>
            </w:r>
          </w:p>
        </w:tc>
        <w:tc>
          <w:tcPr>
            <w:tcW w:type="dxa" w:w="45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Each unit's share of revenue, actual and forecast. Derived, never entered; sums to 100%.</w:t>
            </w:r>
          </w:p>
        </w:tc>
        <w:tc>
          <w:tcPr>
            <w:tcW w:type="dxa" w:w="1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 — group only</w:t>
            </w:r>
          </w:p>
        </w:tc>
      </w:tr>
      <w:tr>
        <w:tc>
          <w:tcPr>
            <w:tcW w:type="dxa" w:w="2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/outputs/initiatives</w:t>
            </w:r>
          </w:p>
        </w:tc>
        <w:tc>
          <w:tcPr>
            <w:tcW w:type="dxa" w:w="1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Initiatives</w:t>
            </w:r>
          </w:p>
        </w:tc>
        <w:tc>
          <w:tcPr>
            <w:tcW w:type="dxa" w:w="45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Each initiative's own P&amp;L and its group impact; per-initiative scenario controls.</w:t>
            </w:r>
          </w:p>
        </w:tc>
        <w:tc>
          <w:tcPr>
            <w:tcW w:type="dxa" w:w="1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 — group only</w:t>
            </w:r>
          </w:p>
        </w:tc>
      </w:tr>
      <w:tr>
        <w:tc>
          <w:tcPr>
            <w:tcW w:type="dxa" w:w="2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/outputs/income-statement</w:t>
            </w:r>
          </w:p>
        </w:tc>
        <w:tc>
          <w:tcPr>
            <w:tcW w:type="dxa" w:w="1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Income statement</w:t>
            </w:r>
          </w:p>
        </w:tc>
        <w:tc>
          <w:tcPr>
            <w:tcW w:type="dxa" w:w="45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Revenue through to net profit, actual years beside forecast years.</w:t>
            </w:r>
          </w:p>
        </w:tc>
        <w:tc>
          <w:tcPr>
            <w:tcW w:type="dxa" w:w="1100"/>
            <w:shd w:fill="FFFFFF" w:val="clear"/>
            <w:tcMar>
              <w:top w:type="dxa" w:w="70"/>
              <w:left w:type="dxa" w:w="110"/>
              <w:bottom w:type="dxa" w:w="70"/>
              <w:right w:type="dxa" w:w="110"/>
            </w:tcMar>
          </w:tcPr>
          <w:p>
            <w:pPr>
              <w:spacing w:after="0"/>
            </w:pPr>
            <w:r>
              <w:rPr>
                <w:b/>
                <w:bCs/>
                <w:i w:val="false"/>
                <w:iCs w:val="false"/>
                <w:color w:val="000000"/>
                <w:sz w:val="18"/>
                <w:szCs w:val="18"/>
              </w:rPr>
              <w:t xml:space="preserve">Yes</w:t>
            </w:r>
          </w:p>
        </w:tc>
      </w:tr>
      <w:tr>
        <w:tc>
          <w:tcPr>
            <w:tcW w:type="dxa" w:w="2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/outputs/cash-flow</w:t>
            </w:r>
          </w:p>
        </w:tc>
        <w:tc>
          <w:tcPr>
            <w:tcW w:type="dxa" w:w="1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Cash flow</w:t>
            </w:r>
          </w:p>
        </w:tc>
        <w:tc>
          <w:tcPr>
            <w:tcW w:type="dxa" w:w="45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Indirect method: operating, investing, financing, tying to closing cash.</w:t>
            </w:r>
          </w:p>
        </w:tc>
        <w:tc>
          <w:tcPr>
            <w:tcW w:type="dxa" w:w="1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 — group only</w:t>
            </w:r>
          </w:p>
        </w:tc>
      </w:tr>
      <w:tr>
        <w:tc>
          <w:tcPr>
            <w:tcW w:type="dxa" w:w="2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/outputs/liquidity</w:t>
            </w:r>
          </w:p>
        </w:tc>
        <w:tc>
          <w:tcPr>
            <w:tcW w:type="dxa" w:w="1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Liquidity</w:t>
            </w:r>
          </w:p>
        </w:tc>
        <w:tc>
          <w:tcPr>
            <w:tcW w:type="dxa" w:w="45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Sources and uses of funds with a cumulative funding line.</w:t>
            </w:r>
          </w:p>
        </w:tc>
        <w:tc>
          <w:tcPr>
            <w:tcW w:type="dxa" w:w="1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 — group only</w:t>
            </w:r>
          </w:p>
        </w:tc>
      </w:tr>
      <w:tr>
        <w:tc>
          <w:tcPr>
            <w:tcW w:type="dxa" w:w="2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/outputs/balance-sheet</w:t>
            </w:r>
          </w:p>
        </w:tc>
        <w:tc>
          <w:tcPr>
            <w:tcW w:type="dxa" w:w="1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Balance sheet</w:t>
            </w:r>
          </w:p>
        </w:tc>
        <w:tc>
          <w:tcPr>
            <w:tcW w:type="dxa" w:w="45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Opening column plus every forecast year, with the balance check row.</w:t>
            </w:r>
          </w:p>
        </w:tc>
        <w:tc>
          <w:tcPr>
            <w:tcW w:type="dxa" w:w="1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 — group only</w:t>
            </w:r>
          </w:p>
        </w:tc>
      </w:tr>
      <w:tr>
        <w:tc>
          <w:tcPr>
            <w:tcW w:type="dxa" w:w="2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/outputs/ratios</w:t>
            </w:r>
          </w:p>
        </w:tc>
        <w:tc>
          <w:tcPr>
            <w:tcW w:type="dxa" w:w="1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Ratios</w:t>
            </w:r>
          </w:p>
        </w:tc>
        <w:tc>
          <w:tcPr>
            <w:tcW w:type="dxa" w:w="45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Margins, working-capital days, liquidity, leverage, returns; plus investment appraisal (NPV/IRR/payback) and break-even.</w:t>
            </w:r>
          </w:p>
        </w:tc>
        <w:tc>
          <w:tcPr>
            <w:tcW w:type="dxa" w:w="1100"/>
            <w:shd w:fill="FFFFFF" w:val="clear"/>
            <w:tcMar>
              <w:top w:type="dxa" w:w="70"/>
              <w:left w:type="dxa" w:w="110"/>
              <w:bottom w:type="dxa" w:w="70"/>
              <w:right w:type="dxa" w:w="110"/>
            </w:tcMar>
          </w:tcPr>
          <w:p>
            <w:pPr>
              <w:spacing w:after="0"/>
            </w:pPr>
            <w:r>
              <w:rPr>
                <w:b/>
                <w:bCs/>
                <w:i w:val="false"/>
                <w:iCs w:val="false"/>
                <w:color w:val="000000"/>
                <w:sz w:val="18"/>
                <w:szCs w:val="18"/>
              </w:rPr>
              <w:t xml:space="preserve">Yes</w:t>
            </w:r>
          </w:p>
        </w:tc>
      </w:tr>
      <w:tr>
        <w:tc>
          <w:tcPr>
            <w:tcW w:type="dxa" w:w="2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/outputs/sensitivity</w:t>
            </w:r>
          </w:p>
        </w:tc>
        <w:tc>
          <w:tcPr>
            <w:tcW w:type="dxa" w:w="1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Sensitivity</w:t>
            </w:r>
          </w:p>
        </w:tc>
        <w:tc>
          <w:tcPr>
            <w:tcW w:type="dxa" w:w="45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Growth and cost-of-sales flex tables (−20% to +20%), scenario comparison, four charts.</w:t>
            </w:r>
          </w:p>
        </w:tc>
        <w:tc>
          <w:tcPr>
            <w:tcW w:type="dxa" w:w="1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 — group only</w:t>
            </w:r>
          </w:p>
        </w:tc>
      </w:tr>
    </w:tbl>
    <w:p>
      <w:pPr>
        <w:spacing w:after="120"/>
      </w:pPr>
    </w:p>
    <w:p>
      <w:pPr>
        <w:pStyle w:val="Heading2"/>
        <w:spacing w:after="120" w:before="280"/>
      </w:pPr>
      <w:r>
        <w:t xml:space="preserve">1.3  Main user workflow</w:t>
      </w:r>
    </w:p>
    <w:p>
      <w:pPr>
        <w:spacing w:after="120"/>
      </w:pPr>
      <w:r>
        <w:rPr>
          <w:b w:val="false"/>
          <w:bCs w:val="false"/>
          <w:i w:val="false"/>
          <w:iCs w:val="false"/>
          <w:sz w:val="20"/>
          <w:szCs w:val="20"/>
        </w:rPr>
        <w:t xml:space="preserve">The normal end-to-end path a user takes:</w:t>
      </w:r>
    </w:p>
    <w:p>
      <w:pPr>
        <w:shd w:fill="F7F9FC" w:val="clear"/>
        <w:spacing w:after="120" w:before="40"/>
        <w:ind w:left="260"/>
      </w:pPr>
      <w:r>
        <w:rPr>
          <w:rFonts w:ascii="Consolas" w:cs="Consolas" w:eastAsia="Consolas" w:hAnsi="Consolas"/>
          <w:sz w:val="18"/>
          <w:szCs w:val="18"/>
        </w:rPr>
        <w:t xml:space="preserve">Sign in  →  Models (pick or create)  →  Inputs step 1 … step 10  →  Save &amp; calculate  →  Outputs  →  Report / CSV export</w:t>
      </w:r>
    </w:p>
    <w:p>
      <w:pPr>
        <w:spacing w:after="120"/>
      </w:pPr>
      <w:r>
        <w:rPr>
          <w:b w:val="false"/>
          <w:bCs w:val="false"/>
          <w:i w:val="false"/>
          <w:iCs w:val="false"/>
          <w:sz w:val="20"/>
          <w:szCs w:val="20"/>
        </w:rPr>
        <w:t xml:space="preserve">In more detail:</w:t>
      </w:r>
    </w:p>
    <w:p>
      <w:pPr>
        <w:pStyle w:val="ListParagraph"/>
        <w:numPr>
          <w:ilvl w:val="0"/>
          <w:numId w:val="2"/>
        </w:numPr>
        <w:spacing w:after="60"/>
      </w:pPr>
      <w:r>
        <w:rPr>
          <w:sz w:val="20"/>
          <w:szCs w:val="20"/>
        </w:rPr>
        <w:t xml:space="preserve">Sign in with company name, email and password.</w:t>
      </w:r>
    </w:p>
    <w:p>
      <w:pPr>
        <w:pStyle w:val="ListParagraph"/>
        <w:numPr>
          <w:ilvl w:val="0"/>
          <w:numId w:val="2"/>
        </w:numPr>
        <w:spacing w:after="60"/>
      </w:pPr>
      <w:r>
        <w:rPr>
          <w:sz w:val="20"/>
          <w:szCs w:val="20"/>
        </w:rPr>
        <w:t xml:space="preserve">Land on the Dashboard (or, for a Super administrator, on the Companies admin page).</w:t>
      </w:r>
    </w:p>
    <w:p>
      <w:pPr>
        <w:pStyle w:val="ListParagraph"/>
        <w:numPr>
          <w:ilvl w:val="0"/>
          <w:numId w:val="2"/>
        </w:numPr>
        <w:spacing w:after="60"/>
      </w:pPr>
      <w:r>
        <w:rPr>
          <w:sz w:val="20"/>
          <w:szCs w:val="20"/>
        </w:rPr>
        <w:t xml:space="preserve">Go to Models. Either open an existing model or create a new empty one, setting its name, first forecast year, number of historical years, number of forecast years and currency.</w:t>
      </w:r>
    </w:p>
    <w:p>
      <w:pPr>
        <w:pStyle w:val="ListParagraph"/>
        <w:numPr>
          <w:ilvl w:val="0"/>
          <w:numId w:val="2"/>
        </w:numPr>
        <w:spacing w:after="60"/>
      </w:pPr>
      <w:r>
        <w:rPr>
          <w:sz w:val="20"/>
          <w:szCs w:val="20"/>
        </w:rPr>
        <w:t xml:space="preserve">Work through Inputs steps 1 to 10 in order. Each step has Back / Save / Save as… / Save &amp; continue buttons; step 10 ends with Save &amp; calculate.</w:t>
      </w:r>
    </w:p>
    <w:p>
      <w:pPr>
        <w:pStyle w:val="ListParagraph"/>
        <w:numPr>
          <w:ilvl w:val="0"/>
          <w:numId w:val="2"/>
        </w:numPr>
        <w:spacing w:after="60"/>
      </w:pPr>
      <w:r>
        <w:rPr>
          <w:sz w:val="20"/>
          <w:szCs w:val="20"/>
        </w:rPr>
        <w:t xml:space="preserve">Step 10 shows the opening balance check. It must read balanced before the outputs mean anything.</w:t>
      </w:r>
    </w:p>
    <w:p>
      <w:pPr>
        <w:pStyle w:val="ListParagraph"/>
        <w:numPr>
          <w:ilvl w:val="0"/>
          <w:numId w:val="2"/>
        </w:numPr>
        <w:spacing w:after="60"/>
      </w:pPr>
      <w:r>
        <w:rPr>
          <w:sz w:val="20"/>
          <w:szCs w:val="20"/>
        </w:rPr>
        <w:t xml:space="preserve">Save &amp; calculate jumps to the Dashboard. Every output screen recalculates from the database on each page load — there is no separate "run" step and nothing is cached.</w:t>
      </w:r>
    </w:p>
    <w:p>
      <w:pPr>
        <w:pStyle w:val="ListParagraph"/>
        <w:numPr>
          <w:ilvl w:val="0"/>
          <w:numId w:val="2"/>
        </w:numPr>
        <w:spacing w:after="60"/>
      </w:pPr>
      <w:r>
        <w:rPr>
          <w:sz w:val="20"/>
          <w:szCs w:val="20"/>
        </w:rPr>
        <w:t xml:space="preserve">Optionally switch scenario (Best / Base / Worst) and, on the income statement and ratios, switch to a single business unit.</w:t>
      </w:r>
    </w:p>
    <w:p>
      <w:pPr>
        <w:pStyle w:val="ListParagraph"/>
        <w:numPr>
          <w:ilvl w:val="0"/>
          <w:numId w:val="2"/>
        </w:numPr>
        <w:spacing w:after="60"/>
      </w:pPr>
      <w:r>
        <w:rPr>
          <w:sz w:val="20"/>
          <w:szCs w:val="20"/>
        </w:rPr>
        <w:t xml:space="preserve">Optionally switch presentation currency in the top bar — display only, the stored model never changes.</w:t>
      </w:r>
    </w:p>
    <w:p>
      <w:pPr>
        <w:pStyle w:val="ListParagraph"/>
        <w:numPr>
          <w:ilvl w:val="0"/>
          <w:numId w:val="2"/>
        </w:numPr>
        <w:spacing w:after="60"/>
      </w:pPr>
      <w:r>
        <w:rPr>
          <w:sz w:val="20"/>
          <w:szCs w:val="20"/>
        </w:rPr>
        <w:t xml:space="preserve">Export a statement as CSV, or build a Report pack and print it.</w:t>
      </w:r>
    </w:p>
    <w:p>
      <w:pPr>
        <w:spacing w:after="120"/>
      </w:pPr>
    </w:p>
    <w:tbl>
      <w:tblPr>
        <w:tblW w:type="dxa" w:w="9360"/>
        <w:tblBorders>
          <w:top w:val="single" w:color="D5DEE8" w:sz="2"/>
          <w:left w:val="single" w:color="2E5C8A" w:sz="12"/>
          <w:bottom w:val="single" w:color="D5DEE8" w:sz="2"/>
          <w:right w:val="single" w:color="D5DEE8" w:sz="2"/>
          <w:insideH w:val="none"/>
          <w:insideV w:val="none"/>
        </w:tblBorders>
      </w:tblPr>
      <w:tblGrid>
        <w:gridCol w:w="9360"/>
      </w:tblGrid>
      <w:tr>
        <w:tc>
          <w:tcPr>
            <w:tcW w:type="dxa" w:w="9360"/>
            <w:shd w:fill="EDF2F8" w:val="clear"/>
            <w:tcMar>
              <w:top w:type="dxa" w:w="120"/>
              <w:left w:type="dxa" w:w="180"/>
              <w:bottom w:type="dxa" w:w="120"/>
              <w:right w:type="dxa" w:w="180"/>
            </w:tcMar>
          </w:tcPr>
          <w:p>
            <w:pPr>
              <w:spacing w:after="60"/>
            </w:pPr>
            <w:r>
              <w:rPr>
                <w:b/>
                <w:bCs/>
                <w:color w:val="1F3864"/>
                <w:sz w:val="20"/>
                <w:szCs w:val="20"/>
              </w:rPr>
              <w:t xml:space="preserve">Recalculation model — worth knowing before you test</w:t>
            </w:r>
          </w:p>
          <w:p>
            <w:pPr>
              <w:spacing w:after="60"/>
            </w:pPr>
            <w:r>
              <w:rPr>
                <w:sz w:val="19"/>
                <w:szCs w:val="19"/>
              </w:rPr>
              <w:t xml:space="preserve">Every output page runs the whole engine again, from the database, on every request. There is no cache, no queue and no background job.</w:t>
            </w:r>
          </w:p>
          <w:p>
            <w:pPr>
              <w:spacing w:after="0"/>
            </w:pPr>
            <w:r>
              <w:rPr>
                <w:sz w:val="19"/>
                <w:szCs w:val="19"/>
              </w:rPr>
              <w:t xml:space="preserve">Consequence for QA: after saving an input, simply reload the output page — the change is there immediately. If it is not, that is a defect, not a caching delay.</w:t>
            </w:r>
          </w:p>
        </w:tc>
      </w:tr>
    </w:tbl>
    <w:p>
      <w:pPr>
        <w:spacing w:after="120"/>
      </w:pPr>
    </w:p>
    <w:p>
      <w:pPr>
        <w:pStyle w:val="Heading2"/>
        <w:spacing w:after="120" w:before="280"/>
      </w:pPr>
      <w:r>
        <w:t xml:space="preserve">1.4  Financial terms you need (plain English)</w:t>
      </w:r>
    </w:p>
    <w:p>
      <w:pPr>
        <w:spacing w:after="120"/>
      </w:pPr>
      <w:r>
        <w:rPr>
          <w:b w:val="false"/>
          <w:bCs w:val="false"/>
          <w:i/>
          <w:iCs/>
          <w:sz w:val="20"/>
          <w:szCs w:val="20"/>
        </w:rPr>
        <w:t xml:space="preserve">You do not need a finance background to test this. These are the only terms that matter.</w:t>
      </w:r>
    </w:p>
    <w:p>
      <w:pPr>
        <w:pStyle w:val="Heading3"/>
        <w:spacing w:after="100" w:before="220"/>
      </w:pPr>
      <w:r>
        <w:t xml:space="preserve">The three statements</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400"/>
        <w:gridCol w:w="6960"/>
      </w:tblGrid>
      <w:tr>
        <w:trPr>
          <w:tblHeader/>
        </w:trPr>
        <w:tc>
          <w:tcPr>
            <w:tcW w:type="dxa" w:w="2400"/>
            <w:shd w:fill="1F3864" w:val="clear"/>
            <w:tcMar>
              <w:top w:type="dxa" w:w="70"/>
              <w:left w:type="dxa" w:w="110"/>
              <w:bottom w:type="dxa" w:w="70"/>
              <w:right w:type="dxa" w:w="110"/>
            </w:tcMar>
          </w:tcPr>
          <w:p>
            <w:pPr>
              <w:spacing w:after="0"/>
            </w:pPr>
            <w:r>
              <w:rPr>
                <w:b/>
                <w:bCs/>
                <w:i w:val="false"/>
                <w:iCs w:val="false"/>
                <w:color w:val="FFFFFF"/>
                <w:sz w:val="18"/>
                <w:szCs w:val="18"/>
              </w:rPr>
              <w:t xml:space="preserve">Term</w:t>
            </w:r>
          </w:p>
        </w:tc>
        <w:tc>
          <w:tcPr>
            <w:tcW w:type="dxa" w:w="6960"/>
            <w:shd w:fill="1F3864" w:val="clear"/>
            <w:tcMar>
              <w:top w:type="dxa" w:w="70"/>
              <w:left w:type="dxa" w:w="110"/>
              <w:bottom w:type="dxa" w:w="70"/>
              <w:right w:type="dxa" w:w="110"/>
            </w:tcMar>
          </w:tcPr>
          <w:p>
            <w:pPr>
              <w:spacing w:after="0"/>
            </w:pPr>
            <w:r>
              <w:rPr>
                <w:b/>
                <w:bCs/>
                <w:i w:val="false"/>
                <w:iCs w:val="false"/>
                <w:color w:val="FFFFFF"/>
                <w:sz w:val="18"/>
                <w:szCs w:val="18"/>
              </w:rPr>
              <w:t xml:space="preserve">What it means in plain English</w:t>
            </w:r>
          </w:p>
        </w:tc>
      </w:tr>
      <w:tr>
        <w:tc>
          <w:tcPr>
            <w:tcW w:type="dxa" w:w="2400"/>
            <w:shd w:fill="FFFFFF" w:val="clear"/>
            <w:tcMar>
              <w:top w:type="dxa" w:w="70"/>
              <w:left w:type="dxa" w:w="110"/>
              <w:bottom w:type="dxa" w:w="70"/>
              <w:right w:type="dxa" w:w="110"/>
            </w:tcMar>
          </w:tcPr>
          <w:p>
            <w:pPr>
              <w:spacing w:after="0"/>
            </w:pPr>
            <w:r>
              <w:rPr>
                <w:b/>
                <w:bCs/>
                <w:i w:val="false"/>
                <w:iCs w:val="false"/>
                <w:color w:val="000000"/>
                <w:sz w:val="18"/>
                <w:szCs w:val="18"/>
              </w:rPr>
              <w:t xml:space="preserve">Income statement (P&amp;L)</w:t>
            </w:r>
          </w:p>
        </w:tc>
        <w:tc>
          <w:tcPr>
            <w:tcW w:type="dxa" w:w="6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Did the company make a profit this year? Starts with revenue (sales), subtracts costs, ends with net profit.</w:t>
            </w:r>
          </w:p>
        </w:tc>
      </w:tr>
      <w:tr>
        <w:tc>
          <w:tcPr>
            <w:tcW w:type="dxa" w:w="2400"/>
            <w:shd w:fill="F7F9FC" w:val="clear"/>
            <w:tcMar>
              <w:top w:type="dxa" w:w="70"/>
              <w:left w:type="dxa" w:w="110"/>
              <w:bottom w:type="dxa" w:w="70"/>
              <w:right w:type="dxa" w:w="110"/>
            </w:tcMar>
          </w:tcPr>
          <w:p>
            <w:pPr>
              <w:spacing w:after="0"/>
            </w:pPr>
            <w:r>
              <w:rPr>
                <w:b/>
                <w:bCs/>
                <w:i w:val="false"/>
                <w:iCs w:val="false"/>
                <w:color w:val="000000"/>
                <w:sz w:val="18"/>
                <w:szCs w:val="18"/>
              </w:rPr>
              <w:t xml:space="preserve">Balance sheet</w:t>
            </w:r>
          </w:p>
        </w:tc>
        <w:tc>
          <w:tcPr>
            <w:tcW w:type="dxa" w:w="69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What the company owns and owes at a point in time. Assets must always equal Liabilities + Equity. If they do not, something is wrong.</w:t>
            </w:r>
          </w:p>
        </w:tc>
      </w:tr>
      <w:tr>
        <w:tc>
          <w:tcPr>
            <w:tcW w:type="dxa" w:w="2400"/>
            <w:shd w:fill="FFFFFF" w:val="clear"/>
            <w:tcMar>
              <w:top w:type="dxa" w:w="70"/>
              <w:left w:type="dxa" w:w="110"/>
              <w:bottom w:type="dxa" w:w="70"/>
              <w:right w:type="dxa" w:w="110"/>
            </w:tcMar>
          </w:tcPr>
          <w:p>
            <w:pPr>
              <w:spacing w:after="0"/>
            </w:pPr>
            <w:r>
              <w:rPr>
                <w:b/>
                <w:bCs/>
                <w:i w:val="false"/>
                <w:iCs w:val="false"/>
                <w:color w:val="000000"/>
                <w:sz w:val="18"/>
                <w:szCs w:val="18"/>
              </w:rPr>
              <w:t xml:space="preserve">Cash flow statement</w:t>
            </w:r>
          </w:p>
        </w:tc>
        <w:tc>
          <w:tcPr>
            <w:tcW w:type="dxa" w:w="6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Where the cash actually went. Profit and cash are not the same thing — you can be profitable and still run out of cash.</w:t>
            </w:r>
          </w:p>
        </w:tc>
      </w:tr>
      <w:tr>
        <w:tc>
          <w:tcPr>
            <w:tcW w:type="dxa" w:w="2400"/>
            <w:shd w:fill="F7F9FC" w:val="clear"/>
            <w:tcMar>
              <w:top w:type="dxa" w:w="70"/>
              <w:left w:type="dxa" w:w="110"/>
              <w:bottom w:type="dxa" w:w="70"/>
              <w:right w:type="dxa" w:w="110"/>
            </w:tcMar>
          </w:tcPr>
          <w:p>
            <w:pPr>
              <w:spacing w:after="0"/>
            </w:pPr>
            <w:r>
              <w:rPr>
                <w:b/>
                <w:bCs/>
                <w:i w:val="false"/>
                <w:iCs w:val="false"/>
                <w:color w:val="000000"/>
                <w:sz w:val="18"/>
                <w:szCs w:val="18"/>
              </w:rPr>
              <w:t xml:space="preserve">Liquidity statement</w:t>
            </w:r>
          </w:p>
        </w:tc>
        <w:tc>
          <w:tcPr>
            <w:tcW w:type="dxa" w:w="69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 second view of cash: what came in, what went out, and whether the plan is funded. Shown with outflows as positive numbers.</w:t>
            </w:r>
          </w:p>
        </w:tc>
      </w:tr>
    </w:tbl>
    <w:p>
      <w:pPr>
        <w:spacing w:after="120"/>
      </w:pPr>
    </w:p>
    <w:p>
      <w:pPr>
        <w:pStyle w:val="Heading3"/>
        <w:spacing w:after="100" w:before="220"/>
      </w:pPr>
      <w:r>
        <w:t xml:space="preserve">Income statement lines, top to bottom</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100"/>
        <w:gridCol w:w="4560"/>
        <w:gridCol w:w="2700"/>
      </w:tblGrid>
      <w:tr>
        <w:trPr>
          <w:tblHeader/>
        </w:trPr>
        <w:tc>
          <w:tcPr>
            <w:tcW w:type="dxa" w:w="2100"/>
            <w:shd w:fill="1F3864" w:val="clear"/>
            <w:tcMar>
              <w:top w:type="dxa" w:w="70"/>
              <w:left w:type="dxa" w:w="110"/>
              <w:bottom w:type="dxa" w:w="70"/>
              <w:right w:type="dxa" w:w="110"/>
            </w:tcMar>
          </w:tcPr>
          <w:p>
            <w:pPr>
              <w:spacing w:after="0"/>
            </w:pPr>
            <w:r>
              <w:rPr>
                <w:b/>
                <w:bCs/>
                <w:i w:val="false"/>
                <w:iCs w:val="false"/>
                <w:color w:val="FFFFFF"/>
                <w:sz w:val="18"/>
                <w:szCs w:val="18"/>
              </w:rPr>
              <w:t xml:space="preserve">Term</w:t>
            </w:r>
          </w:p>
        </w:tc>
        <w:tc>
          <w:tcPr>
            <w:tcW w:type="dxa" w:w="4560"/>
            <w:shd w:fill="1F3864" w:val="clear"/>
            <w:tcMar>
              <w:top w:type="dxa" w:w="70"/>
              <w:left w:type="dxa" w:w="110"/>
              <w:bottom w:type="dxa" w:w="70"/>
              <w:right w:type="dxa" w:w="110"/>
            </w:tcMar>
          </w:tcPr>
          <w:p>
            <w:pPr>
              <w:spacing w:after="0"/>
            </w:pPr>
            <w:r>
              <w:rPr>
                <w:b/>
                <w:bCs/>
                <w:i w:val="false"/>
                <w:iCs w:val="false"/>
                <w:color w:val="FFFFFF"/>
                <w:sz w:val="18"/>
                <w:szCs w:val="18"/>
              </w:rPr>
              <w:t xml:space="preserve">Plain English</w:t>
            </w:r>
          </w:p>
        </w:tc>
        <w:tc>
          <w:tcPr>
            <w:tcW w:type="dxa" w:w="2700"/>
            <w:shd w:fill="1F3864" w:val="clear"/>
            <w:tcMar>
              <w:top w:type="dxa" w:w="70"/>
              <w:left w:type="dxa" w:w="110"/>
              <w:bottom w:type="dxa" w:w="70"/>
              <w:right w:type="dxa" w:w="110"/>
            </w:tcMar>
          </w:tcPr>
          <w:p>
            <w:pPr>
              <w:spacing w:after="0"/>
            </w:pPr>
            <w:r>
              <w:rPr>
                <w:b/>
                <w:bCs/>
                <w:i w:val="false"/>
                <w:iCs w:val="false"/>
                <w:color w:val="FFFFFF"/>
                <w:sz w:val="18"/>
                <w:szCs w:val="18"/>
              </w:rPr>
              <w:t xml:space="preserve">Sign convention in this system</w:t>
            </w:r>
          </w:p>
        </w:tc>
      </w:tr>
      <w:tr>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Revenue</w:t>
            </w:r>
          </w:p>
        </w:tc>
        <w:tc>
          <w:tcPr>
            <w:tcW w:type="dxa" w:w="45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Sales. Money earned from customers.</w:t>
            </w:r>
          </w:p>
        </w:tc>
        <w:tc>
          <w:tcPr>
            <w:tcW w:type="dxa" w:w="2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Positive</w:t>
            </w:r>
          </w:p>
        </w:tc>
      </w:tr>
      <w:tr>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Cost of sales (COGS)</w:t>
            </w:r>
          </w:p>
        </w:tc>
        <w:tc>
          <w:tcPr>
            <w:tcW w:type="dxa" w:w="45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What the goods sold actually cost to buy or make.</w:t>
            </w:r>
          </w:p>
        </w:tc>
        <w:tc>
          <w:tcPr>
            <w:tcW w:type="dxa" w:w="2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Shown negative on outputs; entered as a positive number</w:t>
            </w:r>
          </w:p>
        </w:tc>
      </w:tr>
      <w:tr>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Gross profit</w:t>
            </w:r>
          </w:p>
        </w:tc>
        <w:tc>
          <w:tcPr>
            <w:tcW w:type="dxa" w:w="45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Revenue minus cost of sales. What is left before running costs.</w:t>
            </w:r>
          </w:p>
        </w:tc>
        <w:tc>
          <w:tcPr>
            <w:tcW w:type="dxa" w:w="2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Positive if healthy</w:t>
            </w:r>
          </w:p>
        </w:tc>
      </w:tr>
      <w:tr>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S&amp;D (Selling &amp; distribution)</w:t>
            </w:r>
          </w:p>
        </w:tc>
        <w:tc>
          <w:tcPr>
            <w:tcW w:type="dxa" w:w="45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Sales team, delivery, marketing.</w:t>
            </w:r>
          </w:p>
        </w:tc>
        <w:tc>
          <w:tcPr>
            <w:tcW w:type="dxa" w:w="2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Shown negative; entered positive</w:t>
            </w:r>
          </w:p>
        </w:tc>
      </w:tr>
      <w:tr>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G&amp;A (General &amp; administrative)</w:t>
            </w:r>
          </w:p>
        </w:tc>
        <w:tc>
          <w:tcPr>
            <w:tcW w:type="dxa" w:w="45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Head office, admin, salaries not in the above.</w:t>
            </w:r>
          </w:p>
        </w:tc>
        <w:tc>
          <w:tcPr>
            <w:tcW w:type="dxa" w:w="2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Shown negative; entered positive</w:t>
            </w:r>
          </w:p>
        </w:tc>
      </w:tr>
      <w:tr>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Operating expenses</w:t>
            </w:r>
          </w:p>
        </w:tc>
        <w:tc>
          <w:tcPr>
            <w:tcW w:type="dxa" w:w="45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S&amp;D + G&amp;A + initiative costs + provisions.</w:t>
            </w:r>
          </w:p>
        </w:tc>
        <w:tc>
          <w:tcPr>
            <w:tcW w:type="dxa" w:w="2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Shown negative</w:t>
            </w:r>
          </w:p>
        </w:tc>
      </w:tr>
      <w:tr>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EBITDA</w:t>
            </w:r>
          </w:p>
        </w:tc>
        <w:tc>
          <w:tcPr>
            <w:tcW w:type="dxa" w:w="45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Earnings Before Interest, Tax, Depreciation and Amortisation. Roughly "cash profit from trading".</w:t>
            </w:r>
          </w:p>
        </w:tc>
        <w:tc>
          <w:tcPr>
            <w:tcW w:type="dxa" w:w="2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Positive if healthy</w:t>
            </w:r>
          </w:p>
        </w:tc>
      </w:tr>
      <w:tr>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Depreciation &amp; amortisation</w:t>
            </w:r>
          </w:p>
        </w:tc>
        <w:tc>
          <w:tcPr>
            <w:tcW w:type="dxa" w:w="45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Spreading the cost of an asset over the years it is used. Not a cash payment.</w:t>
            </w:r>
          </w:p>
        </w:tc>
        <w:tc>
          <w:tcPr>
            <w:tcW w:type="dxa" w:w="2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Shown negative</w:t>
            </w:r>
          </w:p>
        </w:tc>
      </w:tr>
      <w:tr>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EBIT</w:t>
            </w:r>
          </w:p>
        </w:tc>
        <w:tc>
          <w:tcPr>
            <w:tcW w:type="dxa" w:w="45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EBITDA minus depreciation. Operating profit.</w:t>
            </w:r>
          </w:p>
        </w:tc>
        <w:tc>
          <w:tcPr>
            <w:tcW w:type="dxa" w:w="2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Positive if healthy</w:t>
            </w:r>
          </w:p>
        </w:tc>
      </w:tr>
      <w:tr>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Net finance cost</w:t>
            </w:r>
          </w:p>
        </w:tc>
        <w:tc>
          <w:tcPr>
            <w:tcW w:type="dxa" w:w="45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Interest paid on borrowings, less interest earned on cash.</w:t>
            </w:r>
          </w:p>
        </w:tc>
        <w:tc>
          <w:tcPr>
            <w:tcW w:type="dxa" w:w="2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Negative when interest paid exceeds interest earned</w:t>
            </w:r>
          </w:p>
        </w:tc>
      </w:tr>
      <w:tr>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Profit before zakat &amp; tax (EBT)</w:t>
            </w:r>
          </w:p>
        </w:tc>
        <w:tc>
          <w:tcPr>
            <w:tcW w:type="dxa" w:w="45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EBIT plus/minus finance. Profit before the government takes its share.</w:t>
            </w:r>
          </w:p>
        </w:tc>
        <w:tc>
          <w:tcPr>
            <w:tcW w:type="dxa" w:w="2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
            </w:r>
          </w:p>
        </w:tc>
      </w:tr>
      <w:tr>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Zakat / levy expense</w:t>
            </w:r>
          </w:p>
        </w:tc>
        <w:tc>
          <w:tcPr>
            <w:tcW w:type="dxa" w:w="45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Saudi religious wealth levy, and/or any tax the model defines. Charged as an expense.</w:t>
            </w:r>
          </w:p>
        </w:tc>
        <w:tc>
          <w:tcPr>
            <w:tcW w:type="dxa" w:w="2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Shown negative</w:t>
            </w:r>
          </w:p>
        </w:tc>
      </w:tr>
      <w:tr>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Net profit for the year</w:t>
            </w:r>
          </w:p>
        </w:tc>
        <w:tc>
          <w:tcPr>
            <w:tcW w:type="dxa" w:w="45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bottom line. What the owners actually made.</w:t>
            </w:r>
          </w:p>
        </w:tc>
        <w:tc>
          <w:tcPr>
            <w:tcW w:type="dxa" w:w="2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
            </w:r>
          </w:p>
        </w:tc>
      </w:tr>
    </w:tbl>
    <w:p>
      <w:pPr>
        <w:spacing w:after="120"/>
      </w:pPr>
    </w:p>
    <w:p>
      <w:pPr>
        <w:pStyle w:val="Heading3"/>
        <w:spacing w:after="100" w:before="220"/>
      </w:pPr>
      <w:r>
        <w:t xml:space="preserve">Balance sheet and cash terms</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000"/>
        <w:gridCol w:w="6360"/>
      </w:tblGrid>
      <w:tr>
        <w:trPr>
          <w:tblHeader/>
        </w:trPr>
        <w:tc>
          <w:tcPr>
            <w:tcW w:type="dxa" w:w="3000"/>
            <w:shd w:fill="1F3864" w:val="clear"/>
            <w:tcMar>
              <w:top w:type="dxa" w:w="70"/>
              <w:left w:type="dxa" w:w="110"/>
              <w:bottom w:type="dxa" w:w="70"/>
              <w:right w:type="dxa" w:w="110"/>
            </w:tcMar>
          </w:tcPr>
          <w:p>
            <w:pPr>
              <w:spacing w:after="0"/>
            </w:pPr>
            <w:r>
              <w:rPr>
                <w:b/>
                <w:bCs/>
                <w:i w:val="false"/>
                <w:iCs w:val="false"/>
                <w:color w:val="FFFFFF"/>
                <w:sz w:val="18"/>
                <w:szCs w:val="18"/>
              </w:rPr>
              <w:t xml:space="preserve">Term</w:t>
            </w:r>
          </w:p>
        </w:tc>
        <w:tc>
          <w:tcPr>
            <w:tcW w:type="dxa" w:w="6360"/>
            <w:shd w:fill="1F3864" w:val="clear"/>
            <w:tcMar>
              <w:top w:type="dxa" w:w="70"/>
              <w:left w:type="dxa" w:w="110"/>
              <w:bottom w:type="dxa" w:w="70"/>
              <w:right w:type="dxa" w:w="110"/>
            </w:tcMar>
          </w:tcPr>
          <w:p>
            <w:pPr>
              <w:spacing w:after="0"/>
            </w:pPr>
            <w:r>
              <w:rPr>
                <w:b/>
                <w:bCs/>
                <w:i w:val="false"/>
                <w:iCs w:val="false"/>
                <w:color w:val="FFFFFF"/>
                <w:sz w:val="18"/>
                <w:szCs w:val="18"/>
              </w:rPr>
              <w:t xml:space="preserve">Plain English</w:t>
            </w:r>
          </w:p>
        </w:tc>
      </w:tr>
      <w:tr>
        <w:tc>
          <w:tcPr>
            <w:tcW w:type="dxa" w:w="3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Assets</w:t>
            </w:r>
          </w:p>
        </w:tc>
        <w:tc>
          <w:tcPr>
            <w:tcW w:type="dxa" w:w="63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What the company owns: cash, money owed by customers, stock, buildings, machines.</w:t>
            </w:r>
          </w:p>
        </w:tc>
      </w:tr>
      <w:tr>
        <w:tc>
          <w:tcPr>
            <w:tcW w:type="dxa" w:w="3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Liabilities</w:t>
            </w:r>
          </w:p>
        </w:tc>
        <w:tc>
          <w:tcPr>
            <w:tcW w:type="dxa" w:w="63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What the company owes: suppliers, banks, tax authority, staff benefits.</w:t>
            </w:r>
          </w:p>
        </w:tc>
      </w:tr>
      <w:tr>
        <w:tc>
          <w:tcPr>
            <w:tcW w:type="dxa" w:w="3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Equity</w:t>
            </w:r>
          </w:p>
        </w:tc>
        <w:tc>
          <w:tcPr>
            <w:tcW w:type="dxa" w:w="63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owners' stake: share capital + reserves + accumulated past profits.</w:t>
            </w:r>
          </w:p>
        </w:tc>
      </w:tr>
      <w:tr>
        <w:tc>
          <w:tcPr>
            <w:tcW w:type="dxa" w:w="3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Accounts receivable (AR) / Trade receivables</w:t>
            </w:r>
          </w:p>
        </w:tc>
        <w:tc>
          <w:tcPr>
            <w:tcW w:type="dxa" w:w="63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Money customers owe you but have not paid yet.</w:t>
            </w:r>
          </w:p>
        </w:tc>
      </w:tr>
      <w:tr>
        <w:tc>
          <w:tcPr>
            <w:tcW w:type="dxa" w:w="3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Inventory</w:t>
            </w:r>
          </w:p>
        </w:tc>
        <w:tc>
          <w:tcPr>
            <w:tcW w:type="dxa" w:w="63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Stock sitting in the warehouse, not yet sold.</w:t>
            </w:r>
          </w:p>
        </w:tc>
      </w:tr>
      <w:tr>
        <w:tc>
          <w:tcPr>
            <w:tcW w:type="dxa" w:w="3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Accounts payable (AP) / Trade payables</w:t>
            </w:r>
          </w:p>
        </w:tc>
        <w:tc>
          <w:tcPr>
            <w:tcW w:type="dxa" w:w="63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Money you owe suppliers but have not paid yet.</w:t>
            </w:r>
          </w:p>
        </w:tc>
      </w:tr>
      <w:tr>
        <w:tc>
          <w:tcPr>
            <w:tcW w:type="dxa" w:w="3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Accruals</w:t>
            </w:r>
          </w:p>
        </w:tc>
        <w:tc>
          <w:tcPr>
            <w:tcW w:type="dxa" w:w="63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Costs you have incurred but not yet been invoiced for.</w:t>
            </w:r>
          </w:p>
        </w:tc>
      </w:tr>
      <w:tr>
        <w:tc>
          <w:tcPr>
            <w:tcW w:type="dxa" w:w="3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PP&amp;E (Property, plant &amp; equipment)</w:t>
            </w:r>
          </w:p>
        </w:tc>
        <w:tc>
          <w:tcPr>
            <w:tcW w:type="dxa" w:w="63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Buildings, machines, vehicles. Entered at original cost with accumulated depreciation shown separately.</w:t>
            </w:r>
          </w:p>
        </w:tc>
      </w:tr>
      <w:tr>
        <w:tc>
          <w:tcPr>
            <w:tcW w:type="dxa" w:w="3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Net book value (NBV)</w:t>
            </w:r>
          </w:p>
        </w:tc>
        <w:tc>
          <w:tcPr>
            <w:tcW w:type="dxa" w:w="63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Original cost minus depreciation charged so far. What the asset is "worth" in the accounts.</w:t>
            </w:r>
          </w:p>
        </w:tc>
      </w:tr>
      <w:tr>
        <w:tc>
          <w:tcPr>
            <w:tcW w:type="dxa" w:w="3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Working capital</w:t>
            </w:r>
          </w:p>
        </w:tc>
        <w:tc>
          <w:tcPr>
            <w:tcW w:type="dxa" w:w="63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Receivables + inventory − payables. Cash tied up in day-to-day trading. Growing it consumes cash.</w:t>
            </w:r>
          </w:p>
        </w:tc>
      </w:tr>
      <w:tr>
        <w:tc>
          <w:tcPr>
            <w:tcW w:type="dxa" w:w="3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Capex (capital expenditure)</w:t>
            </w:r>
          </w:p>
        </w:tc>
        <w:tc>
          <w:tcPr>
            <w:tcW w:type="dxa" w:w="63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Money spent buying long-lived assets. Not an expense — it becomes an asset and depreciates.</w:t>
            </w:r>
          </w:p>
        </w:tc>
      </w:tr>
      <w:tr>
        <w:tc>
          <w:tcPr>
            <w:tcW w:type="dxa" w:w="3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Net debt</w:t>
            </w:r>
          </w:p>
        </w:tc>
        <w:tc>
          <w:tcPr>
            <w:tcW w:type="dxa" w:w="63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Total borrowings minus cash. What the company would owe if it paid everything off today.</w:t>
            </w:r>
          </w:p>
        </w:tc>
      </w:tr>
      <w:tr>
        <w:tc>
          <w:tcPr>
            <w:tcW w:type="dxa" w:w="3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Revolver</w:t>
            </w:r>
          </w:p>
        </w:tc>
        <w:tc>
          <w:tcPr>
            <w:tcW w:type="dxa" w:w="63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An overdraft-style credit line the model draws on automatically when cash falls below a minimum, and repays automatically from any surplus.</w:t>
            </w:r>
          </w:p>
        </w:tc>
      </w:tr>
      <w:tr>
        <w:tc>
          <w:tcPr>
            <w:tcW w:type="dxa" w:w="3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Provisions</w:t>
            </w:r>
          </w:p>
        </w:tc>
        <w:tc>
          <w:tcPr>
            <w:tcW w:type="dxa" w:w="63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Money set aside for a future obligation, e.g. end-of-service benefits owed to staff.</w:t>
            </w:r>
          </w:p>
        </w:tc>
      </w:tr>
      <w:tr>
        <w:tc>
          <w:tcPr>
            <w:tcW w:type="dxa" w:w="3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Statutory reserve</w:t>
            </w:r>
          </w:p>
        </w:tc>
        <w:tc>
          <w:tcPr>
            <w:tcW w:type="dxa" w:w="63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slice of profit Saudi law requires a company to lock away rather than distribute.</w:t>
            </w:r>
          </w:p>
        </w:tc>
      </w:tr>
      <w:tr>
        <w:tc>
          <w:tcPr>
            <w:tcW w:type="dxa" w:w="3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Dividend</w:t>
            </w:r>
          </w:p>
        </w:tc>
        <w:tc>
          <w:tcPr>
            <w:tcW w:type="dxa" w:w="63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Profit paid out to owners. Not an expense — it comes out of profit already earned.</w:t>
            </w:r>
          </w:p>
        </w:tc>
      </w:tr>
    </w:tbl>
    <w:p>
      <w:pPr>
        <w:spacing w:after="120"/>
      </w:pPr>
    </w:p>
    <w:p>
      <w:pPr>
        <w:pStyle w:val="Heading3"/>
        <w:spacing w:after="100" w:before="220"/>
      </w:pPr>
      <w:r>
        <w:t xml:space="preserve">Modelling terms specific to this system</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600"/>
        <w:gridCol w:w="6760"/>
      </w:tblGrid>
      <w:tr>
        <w:trPr>
          <w:tblHeader/>
        </w:trPr>
        <w:tc>
          <w:tcPr>
            <w:tcW w:type="dxa" w:w="2600"/>
            <w:shd w:fill="1F3864" w:val="clear"/>
            <w:tcMar>
              <w:top w:type="dxa" w:w="70"/>
              <w:left w:type="dxa" w:w="110"/>
              <w:bottom w:type="dxa" w:w="70"/>
              <w:right w:type="dxa" w:w="110"/>
            </w:tcMar>
          </w:tcPr>
          <w:p>
            <w:pPr>
              <w:spacing w:after="0"/>
            </w:pPr>
            <w:r>
              <w:rPr>
                <w:b/>
                <w:bCs/>
                <w:i w:val="false"/>
                <w:iCs w:val="false"/>
                <w:color w:val="FFFFFF"/>
                <w:sz w:val="18"/>
                <w:szCs w:val="18"/>
              </w:rPr>
              <w:t xml:space="preserve">Term</w:t>
            </w:r>
          </w:p>
        </w:tc>
        <w:tc>
          <w:tcPr>
            <w:tcW w:type="dxa" w:w="6760"/>
            <w:shd w:fill="1F3864" w:val="clear"/>
            <w:tcMar>
              <w:top w:type="dxa" w:w="70"/>
              <w:left w:type="dxa" w:w="110"/>
              <w:bottom w:type="dxa" w:w="70"/>
              <w:right w:type="dxa" w:w="110"/>
            </w:tcMar>
          </w:tcPr>
          <w:p>
            <w:pPr>
              <w:spacing w:after="0"/>
            </w:pPr>
            <w:r>
              <w:rPr>
                <w:b/>
                <w:bCs/>
                <w:i w:val="false"/>
                <w:iCs w:val="false"/>
                <w:color w:val="FFFFFF"/>
                <w:sz w:val="18"/>
                <w:szCs w:val="18"/>
              </w:rPr>
              <w:t xml:space="preserve">Plain English</w:t>
            </w:r>
          </w:p>
        </w:tc>
      </w:tr>
      <w:tr>
        <w:tc>
          <w:tcPr>
            <w:tcW w:type="dxa" w:w="2600"/>
            <w:shd w:fill="FFFFFF" w:val="clear"/>
            <w:tcMar>
              <w:top w:type="dxa" w:w="70"/>
              <w:left w:type="dxa" w:w="110"/>
              <w:bottom w:type="dxa" w:w="70"/>
              <w:right w:type="dxa" w:w="110"/>
            </w:tcMar>
          </w:tcPr>
          <w:p>
            <w:pPr>
              <w:spacing w:after="0"/>
            </w:pPr>
            <w:r>
              <w:rPr>
                <w:b/>
                <w:bCs/>
                <w:i w:val="false"/>
                <w:iCs w:val="false"/>
                <w:color w:val="000000"/>
                <w:sz w:val="18"/>
                <w:szCs w:val="18"/>
              </w:rPr>
              <w:t xml:space="preserve">Model</w:t>
            </w:r>
          </w:p>
        </w:tc>
        <w:tc>
          <w:tcPr>
            <w:tcW w:type="dxa" w:w="67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One complete set of inputs and the forecast they produce. A company can hold many. Switched from the top bar.</w:t>
            </w:r>
          </w:p>
        </w:tc>
      </w:tr>
      <w:tr>
        <w:tc>
          <w:tcPr>
            <w:tcW w:type="dxa" w:w="2600"/>
            <w:shd w:fill="F7F9FC" w:val="clear"/>
            <w:tcMar>
              <w:top w:type="dxa" w:w="70"/>
              <w:left w:type="dxa" w:w="110"/>
              <w:bottom w:type="dxa" w:w="70"/>
              <w:right w:type="dxa" w:w="110"/>
            </w:tcMar>
          </w:tcPr>
          <w:p>
            <w:pPr>
              <w:spacing w:after="0"/>
            </w:pPr>
            <w:r>
              <w:rPr>
                <w:b/>
                <w:bCs/>
                <w:i w:val="false"/>
                <w:iCs w:val="false"/>
                <w:color w:val="000000"/>
                <w:sz w:val="18"/>
                <w:szCs w:val="18"/>
              </w:rPr>
              <w:t xml:space="preserve">Business unit</w:t>
            </w:r>
          </w:p>
        </w:tc>
        <w:tc>
          <w:tcPr>
            <w:tcW w:type="dxa" w:w="67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 product line or segment. Revenue, costs and initiatives are all collected per unit; the group total is the sum of the units.</w:t>
            </w:r>
          </w:p>
        </w:tc>
      </w:tr>
      <w:tr>
        <w:tc>
          <w:tcPr>
            <w:tcW w:type="dxa" w:w="2600"/>
            <w:shd w:fill="FFFFFF" w:val="clear"/>
            <w:tcMar>
              <w:top w:type="dxa" w:w="70"/>
              <w:left w:type="dxa" w:w="110"/>
              <w:bottom w:type="dxa" w:w="70"/>
              <w:right w:type="dxa" w:w="110"/>
            </w:tcMar>
          </w:tcPr>
          <w:p>
            <w:pPr>
              <w:spacing w:after="0"/>
            </w:pPr>
            <w:r>
              <w:rPr>
                <w:b/>
                <w:bCs/>
                <w:i w:val="false"/>
                <w:iCs w:val="false"/>
                <w:color w:val="000000"/>
                <w:sz w:val="18"/>
                <w:szCs w:val="18"/>
              </w:rPr>
              <w:t xml:space="preserve">Scenario</w:t>
            </w:r>
          </w:p>
        </w:tc>
        <w:tc>
          <w:tcPr>
            <w:tcW w:type="dxa" w:w="67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Best / Base / Worst. Three complete sets of growth and cost assumptions held side by side. Switching scenario re-runs everything.</w:t>
            </w:r>
          </w:p>
        </w:tc>
      </w:tr>
      <w:tr>
        <w:tc>
          <w:tcPr>
            <w:tcW w:type="dxa" w:w="2600"/>
            <w:shd w:fill="F7F9FC" w:val="clear"/>
            <w:tcMar>
              <w:top w:type="dxa" w:w="70"/>
              <w:left w:type="dxa" w:w="110"/>
              <w:bottom w:type="dxa" w:w="70"/>
              <w:right w:type="dxa" w:w="110"/>
            </w:tcMar>
          </w:tcPr>
          <w:p>
            <w:pPr>
              <w:spacing w:after="0"/>
            </w:pPr>
            <w:r>
              <w:rPr>
                <w:b/>
                <w:bCs/>
                <w:i w:val="false"/>
                <w:iCs w:val="false"/>
                <w:color w:val="000000"/>
                <w:sz w:val="18"/>
                <w:szCs w:val="18"/>
              </w:rPr>
              <w:t xml:space="preserve">Driver</w:t>
            </w:r>
          </w:p>
        </w:tc>
        <w:tc>
          <w:tcPr>
            <w:tcW w:type="dxa" w:w="67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An assumption that drives a number, e.g. "revenue grows 5.6%" or "cost of sales is 92% of revenue".</w:t>
            </w:r>
          </w:p>
        </w:tc>
      </w:tr>
      <w:tr>
        <w:tc>
          <w:tcPr>
            <w:tcW w:type="dxa" w:w="2600"/>
            <w:shd w:fill="FFFFFF" w:val="clear"/>
            <w:tcMar>
              <w:top w:type="dxa" w:w="70"/>
              <w:left w:type="dxa" w:w="110"/>
              <w:bottom w:type="dxa" w:w="70"/>
              <w:right w:type="dxa" w:w="110"/>
            </w:tcMar>
          </w:tcPr>
          <w:p>
            <w:pPr>
              <w:spacing w:after="0"/>
            </w:pPr>
            <w:r>
              <w:rPr>
                <w:b/>
                <w:bCs/>
                <w:i w:val="false"/>
                <w:iCs w:val="false"/>
                <w:color w:val="000000"/>
                <w:sz w:val="18"/>
                <w:szCs w:val="18"/>
              </w:rPr>
              <w:t xml:space="preserve">Organic revenue</w:t>
            </w:r>
          </w:p>
        </w:tc>
        <w:tc>
          <w:tcPr>
            <w:tcW w:type="dxa" w:w="67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Revenue from the existing business growing at the growth rate — excluding anything new.</w:t>
            </w:r>
          </w:p>
        </w:tc>
      </w:tr>
      <w:tr>
        <w:tc>
          <w:tcPr>
            <w:tcW w:type="dxa" w:w="2600"/>
            <w:shd w:fill="F7F9FC" w:val="clear"/>
            <w:tcMar>
              <w:top w:type="dxa" w:w="70"/>
              <w:left w:type="dxa" w:w="110"/>
              <w:bottom w:type="dxa" w:w="70"/>
              <w:right w:type="dxa" w:w="110"/>
            </w:tcMar>
          </w:tcPr>
          <w:p>
            <w:pPr>
              <w:spacing w:after="0"/>
            </w:pPr>
            <w:r>
              <w:rPr>
                <w:b/>
                <w:bCs/>
                <w:i w:val="false"/>
                <w:iCs w:val="false"/>
                <w:color w:val="000000"/>
                <w:sz w:val="18"/>
                <w:szCs w:val="18"/>
              </w:rPr>
              <w:t xml:space="preserve">Strategic initiative</w:t>
            </w:r>
          </w:p>
        </w:tc>
        <w:tc>
          <w:tcPr>
            <w:tcW w:type="dxa" w:w="67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 named new project with its own revenue, costs and capex, layered on top of organic. Each has a delivery probability that scales it.</w:t>
            </w:r>
          </w:p>
        </w:tc>
      </w:tr>
      <w:tr>
        <w:tc>
          <w:tcPr>
            <w:tcW w:type="dxa" w:w="2600"/>
            <w:shd w:fill="FFFFFF" w:val="clear"/>
            <w:tcMar>
              <w:top w:type="dxa" w:w="70"/>
              <w:left w:type="dxa" w:w="110"/>
              <w:bottom w:type="dxa" w:w="70"/>
              <w:right w:type="dxa" w:w="110"/>
            </w:tcMar>
          </w:tcPr>
          <w:p>
            <w:pPr>
              <w:spacing w:after="0"/>
            </w:pPr>
            <w:r>
              <w:rPr>
                <w:b/>
                <w:bCs/>
                <w:i w:val="false"/>
                <w:iCs w:val="false"/>
                <w:color w:val="000000"/>
                <w:sz w:val="18"/>
                <w:szCs w:val="18"/>
              </w:rPr>
              <w:t xml:space="preserve">Delivery probability</w:t>
            </w:r>
          </w:p>
        </w:tc>
        <w:tc>
          <w:tcPr>
            <w:tcW w:type="dxa" w:w="67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How likely the initiative is to happen, 0–100%. Every figure in that initiative is multiplied by it.</w:t>
            </w:r>
          </w:p>
        </w:tc>
      </w:tr>
      <w:tr>
        <w:tc>
          <w:tcPr>
            <w:tcW w:type="dxa" w:w="2600"/>
            <w:shd w:fill="F7F9FC" w:val="clear"/>
            <w:tcMar>
              <w:top w:type="dxa" w:w="70"/>
              <w:left w:type="dxa" w:w="110"/>
              <w:bottom w:type="dxa" w:w="70"/>
              <w:right w:type="dxa" w:w="110"/>
            </w:tcMar>
          </w:tcPr>
          <w:p>
            <w:pPr>
              <w:spacing w:after="0"/>
            </w:pPr>
            <w:r>
              <w:rPr>
                <w:b/>
                <w:bCs/>
                <w:i w:val="false"/>
                <w:iCs w:val="false"/>
                <w:color w:val="000000"/>
                <w:sz w:val="18"/>
                <w:szCs w:val="18"/>
              </w:rPr>
              <w:t xml:space="preserve">Actual (A) vs Forecast (F)</w:t>
            </w:r>
          </w:p>
        </w:tc>
        <w:tc>
          <w:tcPr>
            <w:tcW w:type="dxa" w:w="67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Every year column is marked. (A) = a closed year with real data typed in. (F) = a forecast year the engine computed.</w:t>
            </w:r>
          </w:p>
        </w:tc>
      </w:tr>
      <w:tr>
        <w:tc>
          <w:tcPr>
            <w:tcW w:type="dxa" w:w="2600"/>
            <w:shd w:fill="FFFFFF" w:val="clear"/>
            <w:tcMar>
              <w:top w:type="dxa" w:w="70"/>
              <w:left w:type="dxa" w:w="110"/>
              <w:bottom w:type="dxa" w:w="70"/>
              <w:right w:type="dxa" w:w="110"/>
            </w:tcMar>
          </w:tcPr>
          <w:p>
            <w:pPr>
              <w:spacing w:after="0"/>
            </w:pPr>
            <w:r>
              <w:rPr>
                <w:b/>
                <w:bCs/>
                <w:i w:val="false"/>
                <w:iCs w:val="false"/>
                <w:color w:val="000000"/>
                <w:sz w:val="18"/>
                <w:szCs w:val="18"/>
              </w:rPr>
              <w:t xml:space="preserve">Opening balance sheet</w:t>
            </w:r>
          </w:p>
        </w:tc>
        <w:tc>
          <w:tcPr>
            <w:tcW w:type="dxa" w:w="67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company's position at the end of the last actual year. Everything in the forecast rolls forward from here.</w:t>
            </w:r>
          </w:p>
        </w:tc>
      </w:tr>
      <w:tr>
        <w:tc>
          <w:tcPr>
            <w:tcW w:type="dxa" w:w="2600"/>
            <w:shd w:fill="F7F9FC" w:val="clear"/>
            <w:tcMar>
              <w:top w:type="dxa" w:w="70"/>
              <w:left w:type="dxa" w:w="110"/>
              <w:bottom w:type="dxa" w:w="70"/>
              <w:right w:type="dxa" w:w="110"/>
            </w:tcMar>
          </w:tcPr>
          <w:p>
            <w:pPr>
              <w:spacing w:after="0"/>
            </w:pPr>
            <w:r>
              <w:rPr>
                <w:b/>
                <w:bCs/>
                <w:i w:val="false"/>
                <w:iCs w:val="false"/>
                <w:color w:val="000000"/>
                <w:sz w:val="18"/>
                <w:szCs w:val="18"/>
              </w:rPr>
              <w:t xml:space="preserve">Allocation / segment view</w:t>
            </w:r>
          </w:p>
        </w:tc>
        <w:tc>
          <w:tcPr>
            <w:tcW w:type="dxa" w:w="67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When you view one business unit, everything down to EBIT is that unit's own. Everything below EBIT (interest, zakat, dividends) is the group figure multiplied by that unit's share of last-actual-year revenue.</w:t>
            </w:r>
          </w:p>
        </w:tc>
      </w:tr>
      <w:tr>
        <w:tc>
          <w:tcPr>
            <w:tcW w:type="dxa" w:w="2600"/>
            <w:shd w:fill="FFFFFF" w:val="clear"/>
            <w:tcMar>
              <w:top w:type="dxa" w:w="70"/>
              <w:left w:type="dxa" w:w="110"/>
              <w:bottom w:type="dxa" w:w="70"/>
              <w:right w:type="dxa" w:w="110"/>
            </w:tcMar>
          </w:tcPr>
          <w:p>
            <w:pPr>
              <w:spacing w:after="0"/>
            </w:pPr>
            <w:r>
              <w:rPr>
                <w:b/>
                <w:bCs/>
                <w:i w:val="false"/>
                <w:iCs w:val="false"/>
                <w:color w:val="000000"/>
                <w:sz w:val="18"/>
                <w:szCs w:val="18"/>
              </w:rPr>
              <w:t xml:space="preserve">Integrity checks</w:t>
            </w:r>
          </w:p>
        </w:tc>
        <w:tc>
          <w:tcPr>
            <w:tcW w:type="dxa" w:w="67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Automatic tests the engine runs every time: does the opening sheet balance, does the forecast balance each year, does cash tie, does debt reconcile. Shown in the toolbar on every output screen.</w:t>
            </w:r>
          </w:p>
        </w:tc>
      </w:tr>
      <w:tr>
        <w:tc>
          <w:tcPr>
            <w:tcW w:type="dxa" w:w="2600"/>
            <w:shd w:fill="F7F9FC" w:val="clear"/>
            <w:tcMar>
              <w:top w:type="dxa" w:w="70"/>
              <w:left w:type="dxa" w:w="110"/>
              <w:bottom w:type="dxa" w:w="70"/>
              <w:right w:type="dxa" w:w="110"/>
            </w:tcMar>
          </w:tcPr>
          <w:p>
            <w:pPr>
              <w:spacing w:after="0"/>
            </w:pPr>
            <w:r>
              <w:rPr>
                <w:b/>
                <w:bCs/>
                <w:i w:val="false"/>
                <w:iCs w:val="false"/>
                <w:color w:val="000000"/>
                <w:sz w:val="18"/>
                <w:szCs w:val="18"/>
              </w:rPr>
              <w:t xml:space="preserve">Zakat base</w:t>
            </w:r>
          </w:p>
        </w:tc>
        <w:tc>
          <w:tcPr>
            <w:tcW w:type="dxa" w:w="67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ZATCA measure: opening equity + long-term liabilities − net fixed assets − intangibles, but never less than profit. The rate is applied to this.</w:t>
            </w:r>
          </w:p>
        </w:tc>
      </w:tr>
      <w:tr>
        <w:tc>
          <w:tcPr>
            <w:tcW w:type="dxa" w:w="2600"/>
            <w:shd w:fill="FFFFFF" w:val="clear"/>
            <w:tcMar>
              <w:top w:type="dxa" w:w="70"/>
              <w:left w:type="dxa" w:w="110"/>
              <w:bottom w:type="dxa" w:w="70"/>
              <w:right w:type="dxa" w:w="110"/>
            </w:tcMar>
          </w:tcPr>
          <w:p>
            <w:pPr>
              <w:spacing w:after="0"/>
            </w:pPr>
            <w:r>
              <w:rPr>
                <w:b/>
                <w:bCs/>
                <w:i w:val="false"/>
                <w:iCs w:val="false"/>
                <w:color w:val="000000"/>
                <w:sz w:val="18"/>
                <w:szCs w:val="18"/>
              </w:rPr>
              <w:t xml:space="preserve">NPV / IRR / Payback</w:t>
            </w:r>
          </w:p>
        </w:tc>
        <w:tc>
          <w:tcPr>
            <w:tcW w:type="dxa" w:w="67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Is a project worth doing? NPV = value created in today's money. IRR = the effective return rate. Payback = how many years to get the money back.</w:t>
            </w:r>
          </w:p>
        </w:tc>
      </w:tr>
      <w:tr>
        <w:tc>
          <w:tcPr>
            <w:tcW w:type="dxa" w:w="2600"/>
            <w:shd w:fill="F7F9FC" w:val="clear"/>
            <w:tcMar>
              <w:top w:type="dxa" w:w="70"/>
              <w:left w:type="dxa" w:w="110"/>
              <w:bottom w:type="dxa" w:w="70"/>
              <w:right w:type="dxa" w:w="110"/>
            </w:tcMar>
          </w:tcPr>
          <w:p>
            <w:pPr>
              <w:spacing w:after="0"/>
            </w:pPr>
            <w:r>
              <w:rPr>
                <w:b/>
                <w:bCs/>
                <w:i w:val="false"/>
                <w:iCs w:val="false"/>
                <w:color w:val="000000"/>
                <w:sz w:val="18"/>
                <w:szCs w:val="18"/>
              </w:rPr>
              <w:t xml:space="preserve">Break-even</w:t>
            </w:r>
          </w:p>
        </w:tc>
        <w:tc>
          <w:tcPr>
            <w:tcW w:type="dxa" w:w="67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revenue level at which the company makes neither profit nor loss.</w:t>
            </w:r>
          </w:p>
        </w:tc>
      </w:tr>
    </w:tbl>
    <w:p>
      <w:r>
        <w:br w:type="page"/>
      </w:r>
    </w:p>
    <w:p>
      <w:pPr>
        <w:pStyle w:val="Heading1"/>
        <w:spacing w:after="160" w:before="360"/>
      </w:pPr>
      <w:r>
        <w:t xml:space="preserve">2. Pages &amp; Requirements</w:t>
      </w:r>
    </w:p>
    <w:tbl>
      <w:tblPr>
        <w:tblW w:type="dxa" w:w="9360"/>
        <w:tblBorders>
          <w:top w:val="single" w:color="D5DEE8" w:sz="2"/>
          <w:left w:val="single" w:color="2E5C8A" w:sz="12"/>
          <w:bottom w:val="single" w:color="D5DEE8" w:sz="2"/>
          <w:right w:val="single" w:color="D5DEE8" w:sz="2"/>
          <w:insideH w:val="none"/>
          <w:insideV w:val="none"/>
        </w:tblBorders>
      </w:tblPr>
      <w:tblGrid>
        <w:gridCol w:w="9360"/>
      </w:tblGrid>
      <w:tr>
        <w:tc>
          <w:tcPr>
            <w:tcW w:type="dxa" w:w="9360"/>
            <w:shd w:fill="EDF2F8" w:val="clear"/>
            <w:tcMar>
              <w:top w:type="dxa" w:w="120"/>
              <w:left w:type="dxa" w:w="180"/>
              <w:bottom w:type="dxa" w:w="120"/>
              <w:right w:type="dxa" w:w="180"/>
            </w:tcMar>
          </w:tcPr>
          <w:p>
            <w:pPr>
              <w:spacing w:after="60"/>
            </w:pPr>
            <w:r>
              <w:rPr>
                <w:b/>
                <w:bCs/>
                <w:color w:val="1F3864"/>
                <w:sz w:val="20"/>
                <w:szCs w:val="20"/>
              </w:rPr>
              <w:t xml:space="preserve">How to read this section</w:t>
            </w:r>
          </w:p>
          <w:p>
            <w:pPr>
              <w:spacing w:after="60"/>
            </w:pPr>
            <w:r>
              <w:rPr>
                <w:sz w:val="19"/>
                <w:szCs w:val="19"/>
              </w:rPr>
              <w:t xml:space="preserve">"Required" means the server refuses or ignores the save without it — not merely that the field has a red asterisk.</w:t>
            </w:r>
          </w:p>
          <w:p>
            <w:pPr>
              <w:spacing w:after="60"/>
            </w:pPr>
            <w:r>
              <w:rPr>
                <w:sz w:val="19"/>
                <w:szCs w:val="19"/>
              </w:rPr>
              <w:t xml:space="preserve">Every numeric field on the Inputs screens uses the same tolerant parser. It strips commas, spaces and underscores, treats (400) as −400, and silently converts anything it cannot read into 0. There are no min/max checks on these fields.</w:t>
            </w:r>
          </w:p>
          <w:p>
            <w:pPr>
              <w:spacing w:after="60"/>
            </w:pPr>
            <w:r>
              <w:rPr>
                <w:sz w:val="19"/>
                <w:szCs w:val="19"/>
              </w:rPr>
              <w:t xml:space="preserve">Percentage fields are typed as whole percentages (type 92.5 for 92.5%) and stored as the fraction 0.925.</w:t>
            </w:r>
          </w:p>
          <w:p>
            <w:pPr>
              <w:spacing w:after="0"/>
            </w:pPr>
            <w:r>
              <w:rPr>
                <w:sz w:val="19"/>
                <w:szCs w:val="19"/>
              </w:rPr>
              <w:t xml:space="preserve">Every state-changing action posts a CSRF token. A missing or wrong token returns 403 "Your session expired".</w:t>
            </w:r>
          </w:p>
        </w:tc>
      </w:tr>
    </w:tbl>
    <w:p>
      <w:pPr>
        <w:spacing w:after="120"/>
      </w:pPr>
    </w:p>
    <w:p>
      <w:pPr>
        <w:pStyle w:val="Heading2"/>
        <w:spacing w:after="120" w:before="280"/>
      </w:pPr>
      <w:r>
        <w:t xml:space="preserve">2.1  Sign in  —  /login</w:t>
      </w:r>
    </w:p>
    <w:p>
      <w:pPr>
        <w:spacing w:after="120"/>
      </w:pPr>
      <w:r>
        <w:rPr>
          <w:b w:val="false"/>
          <w:bCs w:val="false"/>
          <w:i w:val="false"/>
          <w:iCs w:val="false"/>
          <w:sz w:val="20"/>
          <w:szCs w:val="20"/>
        </w:rPr>
        <w:t xml:space="preserve">Purpose: authenticate a user into one company. Email addresses are unique within a company, not globally, so the company name is part of the credential.</w:t>
      </w:r>
    </w:p>
    <w:p>
      <w:pPr>
        <w:spacing w:after="120"/>
      </w:pPr>
      <w:r>
        <w:rPr>
          <w:b w:val="false"/>
          <w:bCs w:val="false"/>
          <w:i w:val="false"/>
          <w:iCs w:val="false"/>
          <w:sz w:val="20"/>
          <w:szCs w:val="20"/>
        </w:rPr>
        <w:t xml:space="preserve">Used by: everyone. This is the only page reachable without a session.</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850"/>
        <w:gridCol w:w="1000"/>
        <w:gridCol w:w="620"/>
        <w:gridCol w:w="2100"/>
        <w:gridCol w:w="2440"/>
        <w:gridCol w:w="1350"/>
      </w:tblGrid>
      <w:tr>
        <w:trPr>
          <w:tblHeader/>
        </w:trPr>
        <w:tc>
          <w:tcPr>
            <w:tcW w:type="dxa" w:w="1850"/>
            <w:shd w:fill="1F3864" w:val="clear"/>
            <w:tcMar>
              <w:top w:type="dxa" w:w="70"/>
              <w:left w:type="dxa" w:w="110"/>
              <w:bottom w:type="dxa" w:w="70"/>
              <w:right w:type="dxa" w:w="110"/>
            </w:tcMar>
          </w:tcPr>
          <w:p>
            <w:pPr>
              <w:spacing w:after="0"/>
            </w:pPr>
            <w:r>
              <w:rPr>
                <w:b/>
                <w:bCs/>
                <w:i w:val="false"/>
                <w:iCs w:val="false"/>
                <w:color w:val="FFFFFF"/>
                <w:sz w:val="18"/>
                <w:szCs w:val="18"/>
              </w:rPr>
              <w:t xml:space="preserve">Field</w:t>
            </w:r>
          </w:p>
        </w:tc>
        <w:tc>
          <w:tcPr>
            <w:tcW w:type="dxa" w:w="1000"/>
            <w:shd w:fill="1F3864" w:val="clear"/>
            <w:tcMar>
              <w:top w:type="dxa" w:w="70"/>
              <w:left w:type="dxa" w:w="110"/>
              <w:bottom w:type="dxa" w:w="70"/>
              <w:right w:type="dxa" w:w="110"/>
            </w:tcMar>
          </w:tcPr>
          <w:p>
            <w:pPr>
              <w:spacing w:after="0"/>
            </w:pPr>
            <w:r>
              <w:rPr>
                <w:b/>
                <w:bCs/>
                <w:i w:val="false"/>
                <w:iCs w:val="false"/>
                <w:color w:val="FFFFFF"/>
                <w:sz w:val="18"/>
                <w:szCs w:val="18"/>
              </w:rPr>
              <w:t xml:space="preserve">Type</w:t>
            </w:r>
          </w:p>
        </w:tc>
        <w:tc>
          <w:tcPr>
            <w:tcW w:type="dxa" w:w="620"/>
            <w:shd w:fill="1F3864" w:val="clear"/>
            <w:tcMar>
              <w:top w:type="dxa" w:w="70"/>
              <w:left w:type="dxa" w:w="110"/>
              <w:bottom w:type="dxa" w:w="70"/>
              <w:right w:type="dxa" w:w="110"/>
            </w:tcMar>
          </w:tcPr>
          <w:p>
            <w:pPr>
              <w:spacing w:after="0"/>
            </w:pPr>
            <w:r>
              <w:rPr>
                <w:b/>
                <w:bCs/>
                <w:i w:val="false"/>
                <w:iCs w:val="false"/>
                <w:color w:val="FFFFFF"/>
                <w:sz w:val="18"/>
                <w:szCs w:val="18"/>
              </w:rPr>
              <w:t xml:space="preserve">Req.</w:t>
            </w:r>
          </w:p>
        </w:tc>
        <w:tc>
          <w:tcPr>
            <w:tcW w:type="dxa" w:w="2100"/>
            <w:shd w:fill="1F3864" w:val="clear"/>
            <w:tcMar>
              <w:top w:type="dxa" w:w="70"/>
              <w:left w:type="dxa" w:w="110"/>
              <w:bottom w:type="dxa" w:w="70"/>
              <w:right w:type="dxa" w:w="110"/>
            </w:tcMar>
          </w:tcPr>
          <w:p>
            <w:pPr>
              <w:spacing w:after="0"/>
            </w:pPr>
            <w:r>
              <w:rPr>
                <w:b/>
                <w:bCs/>
                <w:i w:val="false"/>
                <w:iCs w:val="false"/>
                <w:color w:val="FFFFFF"/>
                <w:sz w:val="18"/>
                <w:szCs w:val="18"/>
              </w:rPr>
              <w:t xml:space="preserve">Accepted values / format</w:t>
            </w:r>
          </w:p>
        </w:tc>
        <w:tc>
          <w:tcPr>
            <w:tcW w:type="dxa" w:w="2440"/>
            <w:shd w:fill="1F3864" w:val="clear"/>
            <w:tcMar>
              <w:top w:type="dxa" w:w="70"/>
              <w:left w:type="dxa" w:w="110"/>
              <w:bottom w:type="dxa" w:w="70"/>
              <w:right w:type="dxa" w:w="110"/>
            </w:tcMar>
          </w:tcPr>
          <w:p>
            <w:pPr>
              <w:spacing w:after="0"/>
            </w:pPr>
            <w:r>
              <w:rPr>
                <w:b/>
                <w:bCs/>
                <w:i w:val="false"/>
                <w:iCs w:val="false"/>
                <w:color w:val="FFFFFF"/>
                <w:sz w:val="18"/>
                <w:szCs w:val="18"/>
              </w:rPr>
              <w:t xml:space="preserve">Validation &amp; limits</w:t>
            </w:r>
          </w:p>
        </w:tc>
        <w:tc>
          <w:tcPr>
            <w:tcW w:type="dxa" w:w="1350"/>
            <w:shd w:fill="1F3864" w:val="clear"/>
            <w:tcMar>
              <w:top w:type="dxa" w:w="70"/>
              <w:left w:type="dxa" w:w="110"/>
              <w:bottom w:type="dxa" w:w="70"/>
              <w:right w:type="dxa" w:w="110"/>
            </w:tcMar>
          </w:tcPr>
          <w:p>
            <w:pPr>
              <w:spacing w:after="0"/>
            </w:pPr>
            <w:r>
              <w:rPr>
                <w:b/>
                <w:bCs/>
                <w:i w:val="false"/>
                <w:iCs w:val="false"/>
                <w:color w:val="FFFFFF"/>
                <w:sz w:val="18"/>
                <w:szCs w:val="18"/>
              </w:rPr>
              <w:t xml:space="preserve">Default</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Company</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Text (with datalist of demo companies)</w:t>
            </w:r>
          </w:p>
        </w:tc>
        <w:tc>
          <w:tcPr>
            <w:tcW w:type="dxa" w:w="620"/>
            <w:shd w:fill="FFFFFF" w:val="clear"/>
            <w:tcMar>
              <w:top w:type="dxa" w:w="70"/>
              <w:left w:type="dxa" w:w="110"/>
              <w:bottom w:type="dxa" w:w="70"/>
              <w:right w:type="dxa" w:w="110"/>
            </w:tcMar>
          </w:tcPr>
          <w:p>
            <w:pPr>
              <w:spacing w:after="0"/>
            </w:pPr>
            <w:r>
              <w:rPr>
                <w:b/>
                <w:bCs/>
                <w:i w:val="false"/>
                <w:iCs w:val="false"/>
                <w:color w:val="000000"/>
                <w:sz w:val="18"/>
                <w:szCs w:val="18"/>
              </w:rPr>
              <w:t xml:space="preserve">Yes</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Any company name. Matched case-insensitively with internal whitespace collapsed.</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Trimmed. "  alrajhi   GROUP " resolves to "AlRajhi Group". No length limit enforced here.</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Empty</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Email</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Email input</w:t>
            </w:r>
          </w:p>
        </w:tc>
        <w:tc>
          <w:tcPr>
            <w:tcW w:type="dxa" w:w="620"/>
            <w:shd w:fill="F7F9FC" w:val="clear"/>
            <w:tcMar>
              <w:top w:type="dxa" w:w="70"/>
              <w:left w:type="dxa" w:w="110"/>
              <w:bottom w:type="dxa" w:w="70"/>
              <w:right w:type="dxa" w:w="110"/>
            </w:tcMar>
          </w:tcPr>
          <w:p>
            <w:pPr>
              <w:spacing w:after="0"/>
            </w:pPr>
            <w:r>
              <w:rPr>
                <w:b/>
                <w:bCs/>
                <w:i w:val="false"/>
                <w:iCs w:val="false"/>
                <w:color w:val="000000"/>
                <w:sz w:val="18"/>
                <w:szCs w:val="18"/>
              </w:rPr>
              <w:t xml:space="preserve">Yes</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Any email registered to that company.</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Trimmed. Browser applies type=email format checking; the server does not re-check the format.</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Empty (retained after a failed attempt)</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Password</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Password input</w:t>
            </w:r>
          </w:p>
        </w:tc>
        <w:tc>
          <w:tcPr>
            <w:tcW w:type="dxa" w:w="620"/>
            <w:shd w:fill="FFFFFF" w:val="clear"/>
            <w:tcMar>
              <w:top w:type="dxa" w:w="70"/>
              <w:left w:type="dxa" w:w="110"/>
              <w:bottom w:type="dxa" w:w="70"/>
              <w:right w:type="dxa" w:w="110"/>
            </w:tcMar>
          </w:tcPr>
          <w:p>
            <w:pPr>
              <w:spacing w:after="0"/>
            </w:pPr>
            <w:r>
              <w:rPr>
                <w:b/>
                <w:bCs/>
                <w:i w:val="false"/>
                <w:iCs w:val="false"/>
                <w:color w:val="000000"/>
                <w:sz w:val="18"/>
                <w:szCs w:val="18"/>
              </w:rPr>
              <w:t xml:space="preserve">Yes</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user's password.</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Compared against a bcrypt hash. Never echoed back to the form.</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Empty</w:t>
            </w:r>
          </w:p>
        </w:tc>
      </w:tr>
    </w:tbl>
    <w:p>
      <w:pPr>
        <w:spacing w:after="8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900"/>
        <w:gridCol w:w="3430"/>
        <w:gridCol w:w="4030"/>
      </w:tblGrid>
      <w:tr>
        <w:trPr>
          <w:tblHeader/>
        </w:trPr>
        <w:tc>
          <w:tcPr>
            <w:tcW w:type="dxa" w:w="1900"/>
            <w:shd w:fill="1F3864" w:val="clear"/>
            <w:tcMar>
              <w:top w:type="dxa" w:w="70"/>
              <w:left w:type="dxa" w:w="110"/>
              <w:bottom w:type="dxa" w:w="70"/>
              <w:right w:type="dxa" w:w="110"/>
            </w:tcMar>
          </w:tcPr>
          <w:p>
            <w:pPr>
              <w:spacing w:after="0"/>
            </w:pPr>
            <w:r>
              <w:rPr>
                <w:b/>
                <w:bCs/>
                <w:i w:val="false"/>
                <w:iCs w:val="false"/>
                <w:color w:val="FFFFFF"/>
                <w:sz w:val="18"/>
                <w:szCs w:val="18"/>
              </w:rPr>
              <w:t xml:space="preserve">Control</w:t>
            </w:r>
          </w:p>
        </w:tc>
        <w:tc>
          <w:tcPr>
            <w:tcW w:type="dxa" w:w="3430"/>
            <w:shd w:fill="1F3864" w:val="clear"/>
            <w:tcMar>
              <w:top w:type="dxa" w:w="70"/>
              <w:left w:type="dxa" w:w="110"/>
              <w:bottom w:type="dxa" w:w="70"/>
              <w:right w:type="dxa" w:w="110"/>
            </w:tcMar>
          </w:tcPr>
          <w:p>
            <w:pPr>
              <w:spacing w:after="0"/>
            </w:pPr>
            <w:r>
              <w:rPr>
                <w:b/>
                <w:bCs/>
                <w:i w:val="false"/>
                <w:iCs w:val="false"/>
                <w:color w:val="FFFFFF"/>
                <w:sz w:val="18"/>
                <w:szCs w:val="18"/>
              </w:rPr>
              <w:t xml:space="preserve">What it does</w:t>
            </w:r>
          </w:p>
        </w:tc>
        <w:tc>
          <w:tcPr>
            <w:tcW w:type="dxa" w:w="4030"/>
            <w:shd w:fill="1F3864" w:val="clear"/>
            <w:tcMar>
              <w:top w:type="dxa" w:w="70"/>
              <w:left w:type="dxa" w:w="110"/>
              <w:bottom w:type="dxa" w:w="70"/>
              <w:right w:type="dxa" w:w="110"/>
            </w:tcMar>
          </w:tcPr>
          <w:p>
            <w:pPr>
              <w:spacing w:after="0"/>
            </w:pPr>
            <w:r>
              <w:rPr>
                <w:b/>
                <w:bCs/>
                <w:i w:val="false"/>
                <w:iCs w:val="false"/>
                <w:color w:val="FFFFFF"/>
                <w:sz w:val="18"/>
                <w:szCs w:val="18"/>
              </w:rPr>
              <w:t xml:space="preserve">Expected result</w:t>
            </w:r>
          </w:p>
        </w:tc>
      </w:tr>
      <w:tr>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Sign in</w:t>
            </w:r>
          </w:p>
        </w:tc>
        <w:tc>
          <w:tcPr>
            <w:tcW w:type="dxa" w:w="34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Posts company + email + password.</w:t>
            </w:r>
          </w:p>
        </w:tc>
        <w:tc>
          <w:tcPr>
            <w:tcW w:type="dxa" w:w="40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Success: session regenerated, last-login stamped, redirect to /outputs/dashboard — or to the page originally requested, or to /admin/companies for a Super administrator.</w:t>
            </w:r>
          </w:p>
        </w:tc>
      </w:tr>
      <w:tr>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Language toggle (?lang=ar / ?lang=en)</w:t>
            </w:r>
          </w:p>
        </w:tc>
        <w:tc>
          <w:tcPr>
            <w:tcW w:type="dxa" w:w="34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Switches the whole interface between English and Arabic (RTL).</w:t>
            </w:r>
          </w:p>
        </w:tc>
        <w:tc>
          <w:tcPr>
            <w:tcW w:type="dxa" w:w="40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Page re-renders in the chosen language; the choice is held in the session. Numerals stay Western.</w:t>
            </w:r>
          </w:p>
        </w:tc>
      </w:tr>
      <w:tr>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Sample company panel</w:t>
            </w:r>
          </w:p>
        </w:tc>
        <w:tc>
          <w:tcPr>
            <w:tcW w:type="dxa" w:w="34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Lists demo companies and their sign-in details, read from the seed definition.</w:t>
            </w:r>
          </w:p>
        </w:tc>
        <w:tc>
          <w:tcPr>
            <w:tcW w:type="dxa" w:w="40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Only companies flagged is_demo appear. Real companies are never listed.</w:t>
            </w:r>
          </w:p>
        </w:tc>
      </w:tr>
    </w:tbl>
    <w:p>
      <w:pPr>
        <w:spacing w:after="80"/>
      </w:pPr>
    </w:p>
    <w:p>
      <w:pPr>
        <w:pStyle w:val="Heading3"/>
        <w:spacing w:after="100" w:before="220"/>
      </w:pPr>
      <w:r>
        <w:t xml:space="preserve">Success and error behaviour</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000"/>
        <w:gridCol w:w="900"/>
        <w:gridCol w:w="5460"/>
      </w:tblGrid>
      <w:tr>
        <w:trPr>
          <w:tblHeader/>
        </w:trPr>
        <w:tc>
          <w:tcPr>
            <w:tcW w:type="dxa" w:w="3000"/>
            <w:shd w:fill="1F3864" w:val="clear"/>
            <w:tcMar>
              <w:top w:type="dxa" w:w="70"/>
              <w:left w:type="dxa" w:w="110"/>
              <w:bottom w:type="dxa" w:w="70"/>
              <w:right w:type="dxa" w:w="110"/>
            </w:tcMar>
          </w:tcPr>
          <w:p>
            <w:pPr>
              <w:spacing w:after="0"/>
            </w:pPr>
            <w:r>
              <w:rPr>
                <w:b/>
                <w:bCs/>
                <w:i w:val="false"/>
                <w:iCs w:val="false"/>
                <w:color w:val="FFFFFF"/>
                <w:sz w:val="18"/>
                <w:szCs w:val="18"/>
              </w:rPr>
              <w:t xml:space="preserve">Condition</w:t>
            </w:r>
          </w:p>
        </w:tc>
        <w:tc>
          <w:tcPr>
            <w:tcW w:type="dxa" w:w="900"/>
            <w:shd w:fill="1F3864" w:val="clear"/>
            <w:tcMar>
              <w:top w:type="dxa" w:w="70"/>
              <w:left w:type="dxa" w:w="110"/>
              <w:bottom w:type="dxa" w:w="70"/>
              <w:right w:type="dxa" w:w="110"/>
            </w:tcMar>
          </w:tcPr>
          <w:p>
            <w:pPr>
              <w:spacing w:after="0"/>
            </w:pPr>
            <w:r>
              <w:rPr>
                <w:b/>
                <w:bCs/>
                <w:i w:val="false"/>
                <w:iCs w:val="false"/>
                <w:color w:val="FFFFFF"/>
                <w:sz w:val="18"/>
                <w:szCs w:val="18"/>
              </w:rPr>
              <w:t xml:space="preserve">Status</w:t>
            </w:r>
          </w:p>
        </w:tc>
        <w:tc>
          <w:tcPr>
            <w:tcW w:type="dxa" w:w="5460"/>
            <w:shd w:fill="1F3864" w:val="clear"/>
            <w:tcMar>
              <w:top w:type="dxa" w:w="70"/>
              <w:left w:type="dxa" w:w="110"/>
              <w:bottom w:type="dxa" w:w="70"/>
              <w:right w:type="dxa" w:w="110"/>
            </w:tcMar>
          </w:tcPr>
          <w:p>
            <w:pPr>
              <w:spacing w:after="0"/>
            </w:pPr>
            <w:r>
              <w:rPr>
                <w:b/>
                <w:bCs/>
                <w:i w:val="false"/>
                <w:iCs w:val="false"/>
                <w:color w:val="FFFFFF"/>
                <w:sz w:val="18"/>
                <w:szCs w:val="18"/>
              </w:rPr>
              <w:t xml:space="preserve">What the user sees</w:t>
            </w:r>
          </w:p>
        </w:tc>
      </w:tr>
      <w:tr>
        <w:tc>
          <w:tcPr>
            <w:tcW w:type="dxa" w:w="3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Correct credentials</w:t>
            </w:r>
          </w:p>
        </w:tc>
        <w:tc>
          <w:tcPr>
            <w:tcW w:type="dxa" w:w="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302</w:t>
            </w:r>
          </w:p>
        </w:tc>
        <w:tc>
          <w:tcPr>
            <w:tcW w:type="dxa" w:w="54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Redirect to the dashboard.</w:t>
            </w:r>
          </w:p>
        </w:tc>
      </w:tr>
      <w:tr>
        <w:tc>
          <w:tcPr>
            <w:tcW w:type="dxa" w:w="3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Any field left blank</w:t>
            </w:r>
          </w:p>
        </w:tc>
        <w:tc>
          <w:tcPr>
            <w:tcW w:type="dxa" w:w="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400</w:t>
            </w:r>
          </w:p>
        </w:tc>
        <w:tc>
          <w:tcPr>
            <w:tcW w:type="dxa" w:w="54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"Enter your company name, email and password."</w:t>
            </w:r>
          </w:p>
        </w:tc>
      </w:tr>
      <w:tr>
        <w:tc>
          <w:tcPr>
            <w:tcW w:type="dxa" w:w="3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Wrong company, wrong email, or wrong password</w:t>
            </w:r>
          </w:p>
        </w:tc>
        <w:tc>
          <w:tcPr>
            <w:tcW w:type="dxa" w:w="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401</w:t>
            </w:r>
          </w:p>
        </w:tc>
        <w:tc>
          <w:tcPr>
            <w:tcW w:type="dxa" w:w="5460"/>
            <w:shd w:fill="FFFFFF" w:val="clear"/>
            <w:tcMar>
              <w:top w:type="dxa" w:w="70"/>
              <w:left w:type="dxa" w:w="110"/>
              <w:bottom w:type="dxa" w:w="70"/>
              <w:right w:type="dxa" w:w="110"/>
            </w:tcMar>
          </w:tcPr>
          <w:p>
            <w:pPr>
              <w:spacing w:after="40"/>
            </w:pPr>
            <w:r>
              <w:rPr>
                <w:b w:val="false"/>
                <w:bCs w:val="false"/>
                <w:i w:val="false"/>
                <w:iCs w:val="false"/>
                <w:color w:val="000000"/>
                <w:sz w:val="18"/>
                <w:szCs w:val="18"/>
              </w:rPr>
              <w:t xml:space="preserve">One identical message for all three: "Those sign-in details are not recognised. Check the company name, email address and password."</w:t>
            </w:r>
          </w:p>
          <w:p>
            <w:pPr>
              <w:spacing w:after="0"/>
            </w:pPr>
            <w:r>
              <w:rPr>
                <w:b w:val="false"/>
                <w:bCs w:val="false"/>
                <w:i w:val="false"/>
                <w:iCs w:val="false"/>
                <w:color w:val="000000"/>
                <w:sz w:val="18"/>
                <w:szCs w:val="18"/>
              </w:rPr>
              <w:t xml:space="preserve">This is deliberate — the form must not reveal which companies or emails exist.</w:t>
            </w:r>
          </w:p>
        </w:tc>
      </w:tr>
      <w:tr>
        <w:tc>
          <w:tcPr>
            <w:tcW w:type="dxa" w:w="3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Inactive user (is_active = 0)</w:t>
            </w:r>
          </w:p>
        </w:tc>
        <w:tc>
          <w:tcPr>
            <w:tcW w:type="dxa" w:w="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401</w:t>
            </w:r>
          </w:p>
        </w:tc>
        <w:tc>
          <w:tcPr>
            <w:tcW w:type="dxa" w:w="54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Same generic message. An inactive account can never sign in.</w:t>
            </w:r>
          </w:p>
        </w:tc>
      </w:tr>
      <w:tr>
        <w:tc>
          <w:tcPr>
            <w:tcW w:type="dxa" w:w="3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9th failed attempt within 15 minutes from one IP</w:t>
            </w:r>
          </w:p>
        </w:tc>
        <w:tc>
          <w:tcPr>
            <w:tcW w:type="dxa" w:w="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429</w:t>
            </w:r>
          </w:p>
        </w:tc>
        <w:tc>
          <w:tcPr>
            <w:tcW w:type="dxa" w:w="54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"Too many sign-in attempts. Try again in N minutes." The limit is 8 attempts per 15 minutes per IP; a successful sign-in clears the counter.</w:t>
            </w:r>
          </w:p>
        </w:tc>
      </w:tr>
      <w:tr>
        <w:tc>
          <w:tcPr>
            <w:tcW w:type="dxa" w:w="3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Already signed in and visiting /login</w:t>
            </w:r>
          </w:p>
        </w:tc>
        <w:tc>
          <w:tcPr>
            <w:tcW w:type="dxa" w:w="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302</w:t>
            </w:r>
          </w:p>
        </w:tc>
        <w:tc>
          <w:tcPr>
            <w:tcW w:type="dxa" w:w="54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Redirected to the dashboard (or admin, for a Super administrator).</w:t>
            </w:r>
          </w:p>
        </w:tc>
      </w:tr>
    </w:tbl>
    <w:p>
      <w:pPr>
        <w:spacing w:after="80"/>
      </w:pPr>
    </w:p>
    <w:tbl>
      <w:tblPr>
        <w:tblW w:type="dxa" w:w="9360"/>
        <w:tblBorders>
          <w:top w:val="single" w:color="D5DEE8" w:sz="2"/>
          <w:left w:val="single" w:color="D48806" w:sz="12"/>
          <w:bottom w:val="single" w:color="D5DEE8" w:sz="2"/>
          <w:right w:val="single" w:color="D5DEE8" w:sz="2"/>
          <w:insideH w:val="none"/>
          <w:insideV w:val="none"/>
        </w:tblBorders>
      </w:tblPr>
      <w:tblGrid>
        <w:gridCol w:w="9360"/>
      </w:tblGrid>
      <w:tr>
        <w:tc>
          <w:tcPr>
            <w:tcW w:type="dxa" w:w="9360"/>
            <w:shd w:fill="FFF4E0" w:val="clear"/>
            <w:tcMar>
              <w:top w:type="dxa" w:w="120"/>
              <w:left w:type="dxa" w:w="180"/>
              <w:bottom w:type="dxa" w:w="120"/>
              <w:right w:type="dxa" w:w="180"/>
            </w:tcMar>
          </w:tcPr>
          <w:p>
            <w:pPr>
              <w:spacing w:after="60"/>
            </w:pPr>
            <w:r>
              <w:rPr>
                <w:b/>
                <w:bCs/>
                <w:color w:val="1F3864"/>
                <w:sz w:val="20"/>
                <w:szCs w:val="20"/>
              </w:rPr>
              <w:t xml:space="preserve">Rate-limit counter is in memory</w:t>
            </w:r>
          </w:p>
          <w:p>
            <w:pPr>
              <w:spacing w:after="0"/>
            </w:pPr>
            <w:r>
              <w:rPr>
                <w:sz w:val="19"/>
                <w:szCs w:val="19"/>
              </w:rPr>
              <w:t xml:space="preserve">The failed-attempt counter is a plain in-process Map. Restarting the server clears it, and with more than one server process the limit is effectively per process. Worth knowing so a "rate limit did not trigger" result is interpreted correctly.</w:t>
            </w:r>
          </w:p>
        </w:tc>
      </w:tr>
    </w:tbl>
    <w:p>
      <w:pPr>
        <w:spacing w:after="120"/>
      </w:pPr>
    </w:p>
    <w:p>
      <w:pPr>
        <w:pStyle w:val="Heading2"/>
        <w:spacing w:after="120" w:before="280"/>
      </w:pPr>
      <w:r>
        <w:t xml:space="preserve">2.2  Models  —  /models</w:t>
      </w:r>
    </w:p>
    <w:p>
      <w:pPr>
        <w:spacing w:after="120"/>
      </w:pPr>
      <w:r>
        <w:rPr>
          <w:b w:val="false"/>
          <w:bCs w:val="false"/>
          <w:i w:val="false"/>
          <w:iCs w:val="false"/>
          <w:sz w:val="20"/>
          <w:szCs w:val="20"/>
        </w:rPr>
        <w:t xml:space="preserve">Purpose: the model library. Create, open, configure, copy, close, archive and delete models. Each model is a completely independent set of inputs.</w:t>
      </w:r>
    </w:p>
    <w:p>
      <w:pPr>
        <w:spacing w:after="120"/>
      </w:pPr>
      <w:r>
        <w:rPr>
          <w:b w:val="false"/>
          <w:bCs w:val="false"/>
          <w:i w:val="false"/>
          <w:iCs w:val="false"/>
          <w:sz w:val="20"/>
          <w:szCs w:val="20"/>
        </w:rPr>
        <w:t xml:space="preserve">Used by: every role except Super administrator. Read-only roles (Analyst, Board) can open the page and see the list, but every action button is hidden and every action route returns 403.</w:t>
      </w:r>
    </w:p>
    <w:p>
      <w:pPr>
        <w:pStyle w:val="Heading3"/>
        <w:spacing w:after="100" w:before="220"/>
      </w:pPr>
      <w:r>
        <w:t xml:space="preserve">Completion tracking (read-only, per model)</w:t>
      </w:r>
    </w:p>
    <w:p>
      <w:pPr>
        <w:spacing w:after="120"/>
      </w:pPr>
      <w:r>
        <w:rPr>
          <w:b w:val="false"/>
          <w:bCs w:val="false"/>
          <w:i w:val="false"/>
          <w:iCs w:val="false"/>
          <w:sz w:val="20"/>
          <w:szCs w:val="20"/>
        </w:rPr>
        <w:t xml:space="preserve">Each model card shows a percentage and a step-by-step breakdown. A step counts as done when:</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800"/>
        <w:gridCol w:w="5760"/>
        <w:gridCol w:w="1800"/>
      </w:tblGrid>
      <w:tr>
        <w:trPr>
          <w:tblHeader/>
        </w:trPr>
        <w:tc>
          <w:tcPr>
            <w:tcW w:type="dxa" w:w="1800"/>
            <w:shd w:fill="1F3864" w:val="clear"/>
            <w:tcMar>
              <w:top w:type="dxa" w:w="70"/>
              <w:left w:type="dxa" w:w="110"/>
              <w:bottom w:type="dxa" w:w="70"/>
              <w:right w:type="dxa" w:w="110"/>
            </w:tcMar>
          </w:tcPr>
          <w:p>
            <w:pPr>
              <w:spacing w:after="0"/>
            </w:pPr>
            <w:r>
              <w:rPr>
                <w:b/>
                <w:bCs/>
                <w:i w:val="false"/>
                <w:iCs w:val="false"/>
                <w:color w:val="FFFFFF"/>
                <w:sz w:val="18"/>
                <w:szCs w:val="18"/>
              </w:rPr>
              <w:t xml:space="preserve">Step</w:t>
            </w:r>
          </w:p>
        </w:tc>
        <w:tc>
          <w:tcPr>
            <w:tcW w:type="dxa" w:w="5760"/>
            <w:shd w:fill="1F3864" w:val="clear"/>
            <w:tcMar>
              <w:top w:type="dxa" w:w="70"/>
              <w:left w:type="dxa" w:w="110"/>
              <w:bottom w:type="dxa" w:w="70"/>
              <w:right w:type="dxa" w:w="110"/>
            </w:tcMar>
          </w:tcPr>
          <w:p>
            <w:pPr>
              <w:spacing w:after="0"/>
            </w:pPr>
            <w:r>
              <w:rPr>
                <w:b/>
                <w:bCs/>
                <w:i w:val="false"/>
                <w:iCs w:val="false"/>
                <w:color w:val="FFFFFF"/>
                <w:sz w:val="18"/>
                <w:szCs w:val="18"/>
              </w:rPr>
              <w:t xml:space="preserve">Counts as done when</w:t>
            </w:r>
          </w:p>
        </w:tc>
        <w:tc>
          <w:tcPr>
            <w:tcW w:type="dxa" w:w="1800"/>
            <w:shd w:fill="1F3864" w:val="clear"/>
            <w:tcMar>
              <w:top w:type="dxa" w:w="70"/>
              <w:left w:type="dxa" w:w="110"/>
              <w:bottom w:type="dxa" w:w="70"/>
              <w:right w:type="dxa" w:w="110"/>
            </w:tcMar>
          </w:tcPr>
          <w:p>
            <w:pPr>
              <w:spacing w:after="0"/>
            </w:pPr>
            <w:r>
              <w:rPr>
                <w:b/>
                <w:bCs/>
                <w:i w:val="false"/>
                <w:iCs w:val="false"/>
                <w:color w:val="FFFFFF"/>
                <w:sz w:val="18"/>
                <w:szCs w:val="18"/>
              </w:rPr>
              <w:t xml:space="preserve">Counted in the %?</w:t>
            </w:r>
          </w:p>
        </w:tc>
      </w:tr>
      <w:tr>
        <w:tc>
          <w:tcPr>
            <w:tcW w:type="dxa" w:w="18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1 Business units</w:t>
            </w:r>
          </w:p>
        </w:tc>
        <w:tc>
          <w:tcPr>
            <w:tcW w:type="dxa" w:w="57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At least one unit exists whose name is not blank and does not start with "Business unit " (the placeholder name).</w:t>
            </w:r>
          </w:p>
        </w:tc>
        <w:tc>
          <w:tcPr>
            <w:tcW w:type="dxa" w:w="18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Yes</w:t>
            </w:r>
          </w:p>
        </w:tc>
      </w:tr>
      <w:tr>
        <w:tc>
          <w:tcPr>
            <w:tcW w:type="dxa" w:w="18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2 Timeline &amp; policy</w:t>
            </w:r>
          </w:p>
        </w:tc>
        <w:tc>
          <w:tcPr>
            <w:tcW w:type="dxa" w:w="57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At least one levy row exists.</w:t>
            </w:r>
          </w:p>
        </w:tc>
        <w:tc>
          <w:tcPr>
            <w:tcW w:type="dxa" w:w="18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Yes</w:t>
            </w:r>
          </w:p>
        </w:tc>
      </w:tr>
      <w:tr>
        <w:tc>
          <w:tcPr>
            <w:tcW w:type="dxa" w:w="18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3 Working capital</w:t>
            </w:r>
          </w:p>
        </w:tc>
        <w:tc>
          <w:tcPr>
            <w:tcW w:type="dxa" w:w="57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At least one year has a non-zero AR, inventory or AP day count.</w:t>
            </w:r>
          </w:p>
        </w:tc>
        <w:tc>
          <w:tcPr>
            <w:tcW w:type="dxa" w:w="18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Yes</w:t>
            </w:r>
          </w:p>
        </w:tc>
      </w:tr>
      <w:tr>
        <w:tc>
          <w:tcPr>
            <w:tcW w:type="dxa" w:w="18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4 Historical data</w:t>
            </w:r>
          </w:p>
        </w:tc>
        <w:tc>
          <w:tcPr>
            <w:tcW w:type="dxa" w:w="57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Revenue is non-zero for at least as many distinct years as the model's historical-year count.</w:t>
            </w:r>
          </w:p>
        </w:tc>
        <w:tc>
          <w:tcPr>
            <w:tcW w:type="dxa" w:w="18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Yes</w:t>
            </w:r>
          </w:p>
        </w:tc>
      </w:tr>
      <w:tr>
        <w:tc>
          <w:tcPr>
            <w:tcW w:type="dxa" w:w="18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5 Growth drivers</w:t>
            </w:r>
          </w:p>
        </w:tc>
        <w:tc>
          <w:tcPr>
            <w:tcW w:type="dxa" w:w="57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At least one driver row has a non-zero growth %.</w:t>
            </w:r>
          </w:p>
        </w:tc>
        <w:tc>
          <w:tcPr>
            <w:tcW w:type="dxa" w:w="18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Yes</w:t>
            </w:r>
          </w:p>
        </w:tc>
      </w:tr>
      <w:tr>
        <w:tc>
          <w:tcPr>
            <w:tcW w:type="dxa" w:w="18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6 Cost drivers</w:t>
            </w:r>
          </w:p>
        </w:tc>
        <w:tc>
          <w:tcPr>
            <w:tcW w:type="dxa" w:w="57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At least one driver row has a non-zero cost %, or a non-zero fixed cost.</w:t>
            </w:r>
          </w:p>
        </w:tc>
        <w:tc>
          <w:tcPr>
            <w:tcW w:type="dxa" w:w="18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Yes</w:t>
            </w:r>
          </w:p>
        </w:tc>
      </w:tr>
      <w:tr>
        <w:tc>
          <w:tcPr>
            <w:tcW w:type="dxa" w:w="18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7 Debt &amp; financing</w:t>
            </w:r>
          </w:p>
        </w:tc>
        <w:tc>
          <w:tcPr>
            <w:tcW w:type="dxa" w:w="57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Always counted done.</w:t>
            </w:r>
          </w:p>
        </w:tc>
        <w:tc>
          <w:tcPr>
            <w:tcW w:type="dxa" w:w="1800"/>
            <w:shd w:fill="FFFFFF" w:val="clear"/>
            <w:tcMar>
              <w:top w:type="dxa" w:w="70"/>
              <w:left w:type="dxa" w:w="110"/>
              <w:bottom w:type="dxa" w:w="70"/>
              <w:right w:type="dxa" w:w="110"/>
            </w:tcMar>
          </w:tcPr>
          <w:p>
            <w:pPr>
              <w:spacing w:after="0"/>
            </w:pPr>
            <w:r>
              <w:rPr>
                <w:b/>
                <w:bCs/>
                <w:i w:val="false"/>
                <w:iCs w:val="false"/>
                <w:color w:val="000000"/>
                <w:sz w:val="18"/>
                <w:szCs w:val="18"/>
              </w:rPr>
              <w:t xml:space="preserve">No — optional</w:t>
            </w:r>
          </w:p>
        </w:tc>
      </w:tr>
      <w:tr>
        <w:tc>
          <w:tcPr>
            <w:tcW w:type="dxa" w:w="18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8 Strategic initiatives</w:t>
            </w:r>
          </w:p>
        </w:tc>
        <w:tc>
          <w:tcPr>
            <w:tcW w:type="dxa" w:w="57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Always counted done.</w:t>
            </w:r>
          </w:p>
        </w:tc>
        <w:tc>
          <w:tcPr>
            <w:tcW w:type="dxa" w:w="1800"/>
            <w:shd w:fill="F7F9FC" w:val="clear"/>
            <w:tcMar>
              <w:top w:type="dxa" w:w="70"/>
              <w:left w:type="dxa" w:w="110"/>
              <w:bottom w:type="dxa" w:w="70"/>
              <w:right w:type="dxa" w:w="110"/>
            </w:tcMar>
          </w:tcPr>
          <w:p>
            <w:pPr>
              <w:spacing w:after="0"/>
            </w:pPr>
            <w:r>
              <w:rPr>
                <w:b/>
                <w:bCs/>
                <w:i w:val="false"/>
                <w:iCs w:val="false"/>
                <w:color w:val="000000"/>
                <w:sz w:val="18"/>
                <w:szCs w:val="18"/>
              </w:rPr>
              <w:t xml:space="preserve">No — optional</w:t>
            </w:r>
          </w:p>
        </w:tc>
      </w:tr>
      <w:tr>
        <w:tc>
          <w:tcPr>
            <w:tcW w:type="dxa" w:w="18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9 Capital expenditure</w:t>
            </w:r>
          </w:p>
        </w:tc>
        <w:tc>
          <w:tcPr>
            <w:tcW w:type="dxa" w:w="57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At least one year has non-zero maintenance capex, OR at least one asset exists in the register.</w:t>
            </w:r>
          </w:p>
        </w:tc>
        <w:tc>
          <w:tcPr>
            <w:tcW w:type="dxa" w:w="18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Yes</w:t>
            </w:r>
          </w:p>
        </w:tc>
      </w:tr>
      <w:tr>
        <w:tc>
          <w:tcPr>
            <w:tcW w:type="dxa" w:w="18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10 Opening balance sheet</w:t>
            </w:r>
          </w:p>
        </w:tc>
        <w:tc>
          <w:tcPr>
            <w:tcW w:type="dxa" w:w="57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Something has been entered AND assets equal liabilities + equity within 0.50.</w:t>
            </w:r>
          </w:p>
        </w:tc>
        <w:tc>
          <w:tcPr>
            <w:tcW w:type="dxa" w:w="18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Yes</w:t>
            </w:r>
          </w:p>
        </w:tc>
      </w:tr>
    </w:tbl>
    <w:p>
      <w:pPr>
        <w:spacing w:after="80"/>
      </w:pPr>
    </w:p>
    <w:p>
      <w:pPr>
        <w:spacing w:after="120"/>
      </w:pPr>
      <w:r>
        <w:rPr>
          <w:sz w:val="20"/>
          <w:szCs w:val="20"/>
        </w:rPr>
        <w:t xml:space="preserve">The percentage is </w:t>
      </w:r>
      <w:r>
        <w:rPr>
          <w:b/>
          <w:bCs/>
          <w:sz w:val="20"/>
          <w:szCs w:val="20"/>
        </w:rPr>
        <w:t xml:space="preserve">done ÷ 8 required steps</w:t>
      </w:r>
      <w:r>
        <w:rPr>
          <w:sz w:val="20"/>
          <w:szCs w:val="20"/>
        </w:rPr>
        <w:t xml:space="preserve"> (steps 7 and 8 are excluded). A separate </w:t>
      </w:r>
      <w:r>
        <w:rPr>
          <w:b/>
          <w:bCs/>
          <w:sz w:val="20"/>
          <w:szCs w:val="20"/>
        </w:rPr>
        <w:t xml:space="preserve">"Calculates" / "Not ready"</w:t>
      </w:r>
      <w:r>
        <w:rPr>
          <w:sz w:val="20"/>
          <w:szCs w:val="20"/>
        </w:rPr>
        <w:t xml:space="preserve"> badge is shown, which is true only when: a named unit exists, historical revenue exists for at least one year, and the opening balance sheet balances.</w:t>
      </w:r>
    </w:p>
    <w:p>
      <w:pPr>
        <w:spacing w:after="80"/>
      </w:pPr>
    </w:p>
    <w:p>
      <w:pPr>
        <w:pStyle w:val="Heading3"/>
        <w:spacing w:after="100" w:before="220"/>
      </w:pPr>
      <w:r>
        <w:t xml:space="preserve">Create a new model (the form at the top of the page)</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850"/>
        <w:gridCol w:w="1000"/>
        <w:gridCol w:w="620"/>
        <w:gridCol w:w="2100"/>
        <w:gridCol w:w="2440"/>
        <w:gridCol w:w="1350"/>
      </w:tblGrid>
      <w:tr>
        <w:trPr>
          <w:tblHeader/>
        </w:trPr>
        <w:tc>
          <w:tcPr>
            <w:tcW w:type="dxa" w:w="1850"/>
            <w:shd w:fill="1F3864" w:val="clear"/>
            <w:tcMar>
              <w:top w:type="dxa" w:w="70"/>
              <w:left w:type="dxa" w:w="110"/>
              <w:bottom w:type="dxa" w:w="70"/>
              <w:right w:type="dxa" w:w="110"/>
            </w:tcMar>
          </w:tcPr>
          <w:p>
            <w:pPr>
              <w:spacing w:after="0"/>
            </w:pPr>
            <w:r>
              <w:rPr>
                <w:b/>
                <w:bCs/>
                <w:i w:val="false"/>
                <w:iCs w:val="false"/>
                <w:color w:val="FFFFFF"/>
                <w:sz w:val="18"/>
                <w:szCs w:val="18"/>
              </w:rPr>
              <w:t xml:space="preserve">Field</w:t>
            </w:r>
          </w:p>
        </w:tc>
        <w:tc>
          <w:tcPr>
            <w:tcW w:type="dxa" w:w="1000"/>
            <w:shd w:fill="1F3864" w:val="clear"/>
            <w:tcMar>
              <w:top w:type="dxa" w:w="70"/>
              <w:left w:type="dxa" w:w="110"/>
              <w:bottom w:type="dxa" w:w="70"/>
              <w:right w:type="dxa" w:w="110"/>
            </w:tcMar>
          </w:tcPr>
          <w:p>
            <w:pPr>
              <w:spacing w:after="0"/>
            </w:pPr>
            <w:r>
              <w:rPr>
                <w:b/>
                <w:bCs/>
                <w:i w:val="false"/>
                <w:iCs w:val="false"/>
                <w:color w:val="FFFFFF"/>
                <w:sz w:val="18"/>
                <w:szCs w:val="18"/>
              </w:rPr>
              <w:t xml:space="preserve">Type</w:t>
            </w:r>
          </w:p>
        </w:tc>
        <w:tc>
          <w:tcPr>
            <w:tcW w:type="dxa" w:w="620"/>
            <w:shd w:fill="1F3864" w:val="clear"/>
            <w:tcMar>
              <w:top w:type="dxa" w:w="70"/>
              <w:left w:type="dxa" w:w="110"/>
              <w:bottom w:type="dxa" w:w="70"/>
              <w:right w:type="dxa" w:w="110"/>
            </w:tcMar>
          </w:tcPr>
          <w:p>
            <w:pPr>
              <w:spacing w:after="0"/>
            </w:pPr>
            <w:r>
              <w:rPr>
                <w:b/>
                <w:bCs/>
                <w:i w:val="false"/>
                <w:iCs w:val="false"/>
                <w:color w:val="FFFFFF"/>
                <w:sz w:val="18"/>
                <w:szCs w:val="18"/>
              </w:rPr>
              <w:t xml:space="preserve">Req.</w:t>
            </w:r>
          </w:p>
        </w:tc>
        <w:tc>
          <w:tcPr>
            <w:tcW w:type="dxa" w:w="2100"/>
            <w:shd w:fill="1F3864" w:val="clear"/>
            <w:tcMar>
              <w:top w:type="dxa" w:w="70"/>
              <w:left w:type="dxa" w:w="110"/>
              <w:bottom w:type="dxa" w:w="70"/>
              <w:right w:type="dxa" w:w="110"/>
            </w:tcMar>
          </w:tcPr>
          <w:p>
            <w:pPr>
              <w:spacing w:after="0"/>
            </w:pPr>
            <w:r>
              <w:rPr>
                <w:b/>
                <w:bCs/>
                <w:i w:val="false"/>
                <w:iCs w:val="false"/>
                <w:color w:val="FFFFFF"/>
                <w:sz w:val="18"/>
                <w:szCs w:val="18"/>
              </w:rPr>
              <w:t xml:space="preserve">Accepted values / format</w:t>
            </w:r>
          </w:p>
        </w:tc>
        <w:tc>
          <w:tcPr>
            <w:tcW w:type="dxa" w:w="2440"/>
            <w:shd w:fill="1F3864" w:val="clear"/>
            <w:tcMar>
              <w:top w:type="dxa" w:w="70"/>
              <w:left w:type="dxa" w:w="110"/>
              <w:bottom w:type="dxa" w:w="70"/>
              <w:right w:type="dxa" w:w="110"/>
            </w:tcMar>
          </w:tcPr>
          <w:p>
            <w:pPr>
              <w:spacing w:after="0"/>
            </w:pPr>
            <w:r>
              <w:rPr>
                <w:b/>
                <w:bCs/>
                <w:i w:val="false"/>
                <w:iCs w:val="false"/>
                <w:color w:val="FFFFFF"/>
                <w:sz w:val="18"/>
                <w:szCs w:val="18"/>
              </w:rPr>
              <w:t xml:space="preserve">Validation &amp; limits</w:t>
            </w:r>
          </w:p>
        </w:tc>
        <w:tc>
          <w:tcPr>
            <w:tcW w:type="dxa" w:w="1350"/>
            <w:shd w:fill="1F3864" w:val="clear"/>
            <w:tcMar>
              <w:top w:type="dxa" w:w="70"/>
              <w:left w:type="dxa" w:w="110"/>
              <w:bottom w:type="dxa" w:w="70"/>
              <w:right w:type="dxa" w:w="110"/>
            </w:tcMar>
          </w:tcPr>
          <w:p>
            <w:pPr>
              <w:spacing w:after="0"/>
            </w:pPr>
            <w:r>
              <w:rPr>
                <w:b/>
                <w:bCs/>
                <w:i w:val="false"/>
                <w:iCs w:val="false"/>
                <w:color w:val="FFFFFF"/>
                <w:sz w:val="18"/>
                <w:szCs w:val="18"/>
              </w:rPr>
              <w:t xml:space="preserve">Default</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Model name</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Text</w:t>
            </w:r>
          </w:p>
        </w:tc>
        <w:tc>
          <w:tcPr>
            <w:tcW w:type="dxa" w:w="620"/>
            <w:shd w:fill="FFFFFF" w:val="clear"/>
            <w:tcMar>
              <w:top w:type="dxa" w:w="70"/>
              <w:left w:type="dxa" w:w="110"/>
              <w:bottom w:type="dxa" w:w="70"/>
              <w:right w:type="dxa" w:w="110"/>
            </w:tcMar>
          </w:tcPr>
          <w:p>
            <w:pPr>
              <w:spacing w:after="0"/>
            </w:pPr>
            <w:r>
              <w:rPr>
                <w:b/>
                <w:bCs/>
                <w:i w:val="false"/>
                <w:iCs w:val="false"/>
                <w:color w:val="000000"/>
                <w:sz w:val="18"/>
                <w:szCs w:val="18"/>
              </w:rPr>
              <w:t xml:space="preserve">Yes</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Free text.</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HTML required, maxlength 190. Server trims and truncates to 190. Blank falls back to "New model". Duplicate names are allowed.</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Empty</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First forecast year</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Number</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 calendar year.</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HTML min 1990 / max 2200 only. The server accepts any integer with no range check.</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Current year + 1</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Historical years</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Number</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How many closed years the model holds.</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HTML min 1 / max 10. Server clamps to 1–10.</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3</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Forecast years</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Number</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How many years to forecast.</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HTML min 1 / max 15. Server clamps to 1–15.</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5</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Currency</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One of 15 codes: SAR, USD, EUR, GBP, AED, KWD, BHD, QAR, OMR, EGP, JOD, TRY, INR, CNY, JPY.</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Uppercased and truncated to 8 characters.</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SAR</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Notes</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Text</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Free text.</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maxlength 500; server truncates to 500. Blank is stored as NULL.</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Empty</w:t>
            </w:r>
          </w:p>
        </w:tc>
      </w:tr>
    </w:tbl>
    <w:p>
      <w:pPr>
        <w:spacing w:after="80"/>
      </w:pPr>
    </w:p>
    <w:tbl>
      <w:tblPr>
        <w:tblW w:type="dxa" w:w="9360"/>
        <w:tblBorders>
          <w:top w:val="single" w:color="D5DEE8" w:sz="2"/>
          <w:left w:val="single" w:color="2E8B57" w:sz="12"/>
          <w:bottom w:val="single" w:color="D5DEE8" w:sz="2"/>
          <w:right w:val="single" w:color="D5DEE8" w:sz="2"/>
          <w:insideH w:val="none"/>
          <w:insideV w:val="none"/>
        </w:tblBorders>
      </w:tblPr>
      <w:tblGrid>
        <w:gridCol w:w="9360"/>
      </w:tblGrid>
      <w:tr>
        <w:tc>
          <w:tcPr>
            <w:tcW w:type="dxa" w:w="9360"/>
            <w:shd w:fill="EAF6EC" w:val="clear"/>
            <w:tcMar>
              <w:top w:type="dxa" w:w="120"/>
              <w:left w:type="dxa" w:w="180"/>
              <w:bottom w:type="dxa" w:w="120"/>
              <w:right w:type="dxa" w:w="180"/>
            </w:tcMar>
          </w:tcPr>
          <w:p>
            <w:pPr>
              <w:spacing w:after="60"/>
            </w:pPr>
            <w:r>
              <w:rPr>
                <w:b/>
                <w:bCs/>
                <w:color w:val="1F3864"/>
                <w:sz w:val="20"/>
                <w:szCs w:val="20"/>
              </w:rPr>
              <w:t xml:space="preserve">What "Create empty model" actually creates</w:t>
            </w:r>
          </w:p>
          <w:p>
            <w:pPr>
              <w:spacing w:after="60"/>
            </w:pPr>
            <w:r>
              <w:rPr>
                <w:sz w:val="19"/>
                <w:szCs w:val="19"/>
              </w:rPr>
              <w:t xml:space="preserve">One business unit named "Business unit 1" (a placeholder, so it does NOT count towards completion).</w:t>
            </w:r>
          </w:p>
          <w:p>
            <w:pPr>
              <w:spacing w:after="60"/>
            </w:pPr>
            <w:r>
              <w:rPr>
                <w:sz w:val="19"/>
                <w:szCs w:val="19"/>
              </w:rPr>
              <w:t xml:space="preserve">Blank driver rows for that unit — 3 scenarios × the number of forecast years.</w:t>
            </w:r>
          </w:p>
          <w:p>
            <w:pPr>
              <w:spacing w:after="60"/>
            </w:pPr>
            <w:r>
              <w:rPr>
                <w:sz w:val="19"/>
                <w:szCs w:val="19"/>
              </w:rPr>
              <w:t xml:space="preserve">One blank assumption row per forecast year, and a zeroed opening balance sheet.</w:t>
            </w:r>
          </w:p>
          <w:p>
            <w:pPr>
              <w:spacing w:after="60"/>
            </w:pPr>
            <w:r>
              <w:rPr>
                <w:sz w:val="19"/>
                <w:szCs w:val="19"/>
              </w:rPr>
              <w:t xml:space="preserve">One levy row: "Zakat", 2.5%, assessed on the zakat base.</w:t>
            </w:r>
          </w:p>
          <w:p>
            <w:pPr>
              <w:spacing w:after="0"/>
            </w:pPr>
            <w:r>
              <w:rPr>
                <w:sz w:val="19"/>
                <w:szCs w:val="19"/>
              </w:rPr>
              <w:t xml:space="preserve">An audit-log entry. Nothing is copied from any other model. The session switches to the new model and you land on /inputs/1.</w:t>
            </w:r>
          </w:p>
        </w:tc>
      </w:tr>
    </w:tbl>
    <w:p>
      <w:pPr>
        <w:spacing w:after="80"/>
      </w:pPr>
    </w:p>
    <w:p>
      <w:pPr>
        <w:pStyle w:val="Heading3"/>
        <w:spacing w:after="100" w:before="220"/>
      </w:pPr>
      <w:r>
        <w:t xml:space="preserve">Per-model actions</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900"/>
        <w:gridCol w:w="3430"/>
        <w:gridCol w:w="4030"/>
      </w:tblGrid>
      <w:tr>
        <w:trPr>
          <w:tblHeader/>
        </w:trPr>
        <w:tc>
          <w:tcPr>
            <w:tcW w:type="dxa" w:w="1900"/>
            <w:shd w:fill="1F3864" w:val="clear"/>
            <w:tcMar>
              <w:top w:type="dxa" w:w="70"/>
              <w:left w:type="dxa" w:w="110"/>
              <w:bottom w:type="dxa" w:w="70"/>
              <w:right w:type="dxa" w:w="110"/>
            </w:tcMar>
          </w:tcPr>
          <w:p>
            <w:pPr>
              <w:spacing w:after="0"/>
            </w:pPr>
            <w:r>
              <w:rPr>
                <w:b/>
                <w:bCs/>
                <w:i w:val="false"/>
                <w:iCs w:val="false"/>
                <w:color w:val="FFFFFF"/>
                <w:sz w:val="18"/>
                <w:szCs w:val="18"/>
              </w:rPr>
              <w:t xml:space="preserve">Control</w:t>
            </w:r>
          </w:p>
        </w:tc>
        <w:tc>
          <w:tcPr>
            <w:tcW w:type="dxa" w:w="3430"/>
            <w:shd w:fill="1F3864" w:val="clear"/>
            <w:tcMar>
              <w:top w:type="dxa" w:w="70"/>
              <w:left w:type="dxa" w:w="110"/>
              <w:bottom w:type="dxa" w:w="70"/>
              <w:right w:type="dxa" w:w="110"/>
            </w:tcMar>
          </w:tcPr>
          <w:p>
            <w:pPr>
              <w:spacing w:after="0"/>
            </w:pPr>
            <w:r>
              <w:rPr>
                <w:b/>
                <w:bCs/>
                <w:i w:val="false"/>
                <w:iCs w:val="false"/>
                <w:color w:val="FFFFFF"/>
                <w:sz w:val="18"/>
                <w:szCs w:val="18"/>
              </w:rPr>
              <w:t xml:space="preserve">What it does</w:t>
            </w:r>
          </w:p>
        </w:tc>
        <w:tc>
          <w:tcPr>
            <w:tcW w:type="dxa" w:w="4030"/>
            <w:shd w:fill="1F3864" w:val="clear"/>
            <w:tcMar>
              <w:top w:type="dxa" w:w="70"/>
              <w:left w:type="dxa" w:w="110"/>
              <w:bottom w:type="dxa" w:w="70"/>
              <w:right w:type="dxa" w:w="110"/>
            </w:tcMar>
          </w:tcPr>
          <w:p>
            <w:pPr>
              <w:spacing w:after="0"/>
            </w:pPr>
            <w:r>
              <w:rPr>
                <w:b/>
                <w:bCs/>
                <w:i w:val="false"/>
                <w:iCs w:val="false"/>
                <w:color w:val="FFFFFF"/>
                <w:sz w:val="18"/>
                <w:szCs w:val="18"/>
              </w:rPr>
              <w:t xml:space="preserve">Expected result</w:t>
            </w:r>
          </w:p>
        </w:tc>
      </w:tr>
      <w:tr>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Open outputs / Open inputs</w:t>
            </w:r>
          </w:p>
        </w:tc>
        <w:tc>
          <w:tcPr>
            <w:tcW w:type="dxa" w:w="34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Switches the session to that model and navigates. The button label depends on whether the model is "ready".</w:t>
            </w:r>
          </w:p>
        </w:tc>
        <w:tc>
          <w:tcPr>
            <w:tcW w:type="dxa" w:w="40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Redirect to /outputs/dashboard or /inputs/1. If the model id does not belong to your company, you are silently redirected to /models.</w:t>
            </w:r>
          </w:p>
        </w:tc>
      </w:tr>
      <w:tr>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Settings</w:t>
            </w:r>
          </w:p>
        </w:tc>
        <w:tc>
          <w:tcPr>
            <w:tcW w:type="dxa" w:w="34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Link to /models/:id/settings.</w:t>
            </w:r>
          </w:p>
        </w:tc>
        <w:tc>
          <w:tcPr>
            <w:tcW w:type="dxa" w:w="4030"/>
            <w:shd w:fill="F7F9FC" w:val="clear"/>
            <w:tcMar>
              <w:top w:type="dxa" w:w="70"/>
              <w:left w:type="dxa" w:w="110"/>
              <w:bottom w:type="dxa" w:w="70"/>
              <w:right w:type="dxa" w:w="110"/>
            </w:tcMar>
          </w:tcPr>
          <w:p>
            <w:pPr>
              <w:spacing w:after="40"/>
            </w:pPr>
            <w:r>
              <w:rPr>
                <w:b w:val="false"/>
                <w:bCs w:val="false"/>
                <w:i w:val="false"/>
                <w:iCs w:val="false"/>
                <w:color w:val="000000"/>
                <w:sz w:val="18"/>
                <w:szCs w:val="18"/>
              </w:rPr>
              <w:t xml:space="preserve">Opens the settings page.</w:t>
            </w:r>
          </w:p>
          <w:p>
            <w:pPr>
              <w:spacing w:after="0"/>
            </w:pPr>
            <w:r>
              <w:rPr>
                <w:b w:val="false"/>
                <w:bCs w:val="false"/>
                <w:i w:val="false"/>
                <w:iCs w:val="false"/>
                <w:color w:val="000000"/>
                <w:sz w:val="18"/>
                <w:szCs w:val="18"/>
              </w:rPr>
              <w:t xml:space="preserve">SEE DEFECT D1 — saving on that page currently always fails.</w:t>
            </w:r>
          </w:p>
        </w:tc>
      </w:tr>
      <w:tr>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Close model / Reopen</w:t>
            </w:r>
          </w:p>
        </w:tc>
        <w:tc>
          <w:tcPr>
            <w:tcW w:type="dxa" w:w="34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Freezes the model against all editing, or unfreezes it. Optional note (max 300 chars) shown to anyone who tries to edit.</w:t>
            </w:r>
          </w:p>
        </w:tc>
        <w:tc>
          <w:tcPr>
            <w:tcW w:type="dxa" w:w="4030"/>
            <w:shd w:fill="FFFFFF" w:val="clear"/>
            <w:tcMar>
              <w:top w:type="dxa" w:w="70"/>
              <w:left w:type="dxa" w:w="110"/>
              <w:bottom w:type="dxa" w:w="70"/>
              <w:right w:type="dxa" w:w="110"/>
            </w:tcMar>
          </w:tcPr>
          <w:p>
            <w:pPr>
              <w:spacing w:after="40"/>
            </w:pPr>
            <w:r>
              <w:rPr>
                <w:b w:val="false"/>
                <w:bCs w:val="false"/>
                <w:i w:val="false"/>
                <w:iCs w:val="false"/>
                <w:color w:val="000000"/>
                <w:sz w:val="18"/>
                <w:szCs w:val="18"/>
              </w:rPr>
              <w:t xml:space="preserve">Only a role with canLockModels (Administrator) may do it; a Model manager gets "Closing a model is reserved for an administrator." Once closed, every write to /inputs, /outputs and /data returns 423 "This model is closed". Reads, duplication, rename and reopen still work.</w:t>
            </w:r>
          </w:p>
          <w:p>
            <w:pPr>
              <w:spacing w:after="0"/>
            </w:pPr>
            <w:r>
              <w:rPr>
                <w:b w:val="false"/>
                <w:bCs w:val="false"/>
                <w:i w:val="false"/>
                <w:iCs w:val="false"/>
                <w:color w:val="000000"/>
                <w:sz w:val="18"/>
                <w:szCs w:val="18"/>
              </w:rPr>
              <w:t xml:space="preserve">SEE DEFECT D2 — depends on database columns that are missing from schema.sql.</w:t>
            </w:r>
          </w:p>
        </w:tc>
      </w:tr>
      <w:tr>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Rename</w:t>
            </w:r>
          </w:p>
        </w:tc>
        <w:tc>
          <w:tcPr>
            <w:tcW w:type="dxa" w:w="34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Changes name (max 190) and notes (max 500).</w:t>
            </w:r>
          </w:p>
        </w:tc>
        <w:tc>
          <w:tcPr>
            <w:tcW w:type="dxa" w:w="40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Saved; flash "Model renamed." Blank name falls back to "Untitled model".</w:t>
            </w:r>
          </w:p>
        </w:tc>
      </w:tr>
      <w:tr>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Duplicate</w:t>
            </w:r>
          </w:p>
        </w:tc>
        <w:tc>
          <w:tcPr>
            <w:tcW w:type="dxa" w:w="34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Full deep copy: units, actuals, drivers, assumptions, opening balances, debt and schedules, initiatives and their years and probabilities, taxes, provisions, and standalone capex assets.</w:t>
            </w:r>
          </w:p>
        </w:tc>
        <w:tc>
          <w:tcPr>
            <w:tcW w:type="dxa" w:w="4030"/>
            <w:shd w:fill="FFFFFF" w:val="clear"/>
            <w:tcMar>
              <w:top w:type="dxa" w:w="70"/>
              <w:left w:type="dxa" w:w="110"/>
              <w:bottom w:type="dxa" w:w="70"/>
              <w:right w:type="dxa" w:w="110"/>
            </w:tcMar>
          </w:tcPr>
          <w:p>
            <w:pPr>
              <w:spacing w:after="40"/>
            </w:pPr>
            <w:r>
              <w:rPr>
                <w:b w:val="false"/>
                <w:bCs w:val="false"/>
                <w:i w:val="false"/>
                <w:iCs w:val="false"/>
                <w:color w:val="000000"/>
                <w:sz w:val="18"/>
                <w:szCs w:val="18"/>
              </w:rPr>
              <w:t xml:space="preserve">Copy created and the session switches to it. Flash "Model copied."</w:t>
            </w:r>
          </w:p>
          <w:p>
            <w:pPr>
              <w:spacing w:after="0"/>
            </w:pPr>
            <w:r>
              <w:rPr>
                <w:b w:val="false"/>
                <w:bCs w:val="false"/>
                <w:i w:val="false"/>
                <w:iCs w:val="false"/>
                <w:color w:val="000000"/>
                <w:sz w:val="18"/>
                <w:szCs w:val="18"/>
              </w:rPr>
              <w:t xml:space="preserve">Note: capex assets attached to an initiative are NOT copied (only initiative_id IS NULL rows are). Verify this against the business rule — see U6.</w:t>
            </w:r>
          </w:p>
        </w:tc>
      </w:tr>
      <w:tr>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Archive / Restore</w:t>
            </w:r>
          </w:p>
        </w:tc>
        <w:tc>
          <w:tcPr>
            <w:tcW w:type="dxa" w:w="34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Hides the model from the switcher and the comparison screen. Not a delete.</w:t>
            </w:r>
          </w:p>
        </w:tc>
        <w:tc>
          <w:tcPr>
            <w:tcW w:type="dxa" w:w="40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Archived models still appear in the /models list with an "Archived" badge. If the archived model was the active one, the session drops it and falls back to the company's oldest active model.</w:t>
            </w:r>
          </w:p>
        </w:tc>
      </w:tr>
      <w:tr>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Delete</w:t>
            </w:r>
          </w:p>
        </w:tc>
        <w:tc>
          <w:tcPr>
            <w:tcW w:type="dxa" w:w="34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Permanently removes the model and, by cascade, every input in it.</w:t>
            </w:r>
          </w:p>
        </w:tc>
        <w:tc>
          <w:tcPr>
            <w:tcW w:type="dxa" w:w="4030"/>
            <w:shd w:fill="FFFFFF" w:val="clear"/>
            <w:tcMar>
              <w:top w:type="dxa" w:w="70"/>
              <w:left w:type="dxa" w:w="110"/>
              <w:bottom w:type="dxa" w:w="70"/>
              <w:right w:type="dxa" w:w="110"/>
            </w:tcMar>
          </w:tcPr>
          <w:p>
            <w:pPr>
              <w:spacing w:after="40"/>
            </w:pPr>
            <w:r>
              <w:rPr>
                <w:b w:val="false"/>
                <w:bCs w:val="false"/>
                <w:i w:val="false"/>
                <w:iCs w:val="false"/>
                <w:color w:val="000000"/>
                <w:sz w:val="18"/>
                <w:szCs w:val="18"/>
              </w:rPr>
              <w:t xml:space="preserve">Requires the exact model name to be typed into a confirmation field. Wrong text → "Type the model name exactly to confirm deletion." Refused entirely when only one model remains → "A company must keep at least one model."</w:t>
            </w:r>
          </w:p>
          <w:p>
            <w:pPr>
              <w:spacing w:after="0"/>
            </w:pPr>
            <w:r>
              <w:rPr>
                <w:b w:val="false"/>
                <w:bCs w:val="false"/>
                <w:i w:val="false"/>
                <w:iCs w:val="false"/>
                <w:color w:val="000000"/>
                <w:sz w:val="18"/>
                <w:szCs w:val="18"/>
              </w:rPr>
              <w:t xml:space="preserve">Note: the count includes archived models, so the last ACTIVE model can still be deleted if an archived one exists.</w:t>
            </w:r>
          </w:p>
        </w:tc>
      </w:tr>
      <w:tr>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Model switcher (top bar)</w:t>
            </w:r>
          </w:p>
        </w:tc>
        <w:tc>
          <w:tcPr>
            <w:tcW w:type="dxa" w:w="34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 of every non-archived model; auto-submits on change.</w:t>
            </w:r>
          </w:p>
        </w:tc>
        <w:tc>
          <w:tcPr>
            <w:tcW w:type="dxa" w:w="40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Session switches model; you stay on the same page. The id is re-validated against your company on every request.</w:t>
            </w:r>
          </w:p>
        </w:tc>
      </w:tr>
    </w:tbl>
    <w:p>
      <w:pPr>
        <w:spacing w:after="80"/>
      </w:pPr>
    </w:p>
    <w:p>
      <w:pPr>
        <w:spacing w:after="120"/>
      </w:pPr>
      <w:r>
        <w:rPr>
          <w:b w:val="false"/>
          <w:bCs w:val="false"/>
          <w:i w:val="false"/>
          <w:iCs w:val="false"/>
          <w:sz w:val="20"/>
          <w:szCs w:val="20"/>
        </w:rPr>
        <w:t xml:space="preserve">Dependencies: this page reads completion counts from every input table. Deleting or archiving affects the top-bar switcher, /compare and the active-model resolution on every other page.</w:t>
      </w:r>
    </w:p>
    <w:p>
      <w:pPr>
        <w:spacing w:after="120"/>
      </w:pPr>
    </w:p>
    <w:p>
      <w:pPr>
        <w:pStyle w:val="Heading2"/>
        <w:spacing w:after="120" w:before="280"/>
      </w:pPr>
      <w:r>
        <w:t xml:space="preserve">2.3  Model settings  —  /models/:id/settings</w:t>
      </w:r>
    </w:p>
    <w:p>
      <w:pPr>
        <w:spacing w:after="120"/>
      </w:pPr>
      <w:r>
        <w:rPr>
          <w:b w:val="false"/>
          <w:bCs w:val="false"/>
          <w:i w:val="false"/>
          <w:iCs w:val="false"/>
          <w:sz w:val="20"/>
          <w:szCs w:val="20"/>
        </w:rPr>
        <w:t xml:space="preserve">Purpose: the model's identity and its calendar. The horizon lives here, not in the Inputs wizard, so every screen agrees on the same set of years.</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850"/>
        <w:gridCol w:w="1000"/>
        <w:gridCol w:w="620"/>
        <w:gridCol w:w="2100"/>
        <w:gridCol w:w="2440"/>
        <w:gridCol w:w="1350"/>
      </w:tblGrid>
      <w:tr>
        <w:trPr>
          <w:tblHeader/>
        </w:trPr>
        <w:tc>
          <w:tcPr>
            <w:tcW w:type="dxa" w:w="1850"/>
            <w:shd w:fill="1F3864" w:val="clear"/>
            <w:tcMar>
              <w:top w:type="dxa" w:w="70"/>
              <w:left w:type="dxa" w:w="110"/>
              <w:bottom w:type="dxa" w:w="70"/>
              <w:right w:type="dxa" w:w="110"/>
            </w:tcMar>
          </w:tcPr>
          <w:p>
            <w:pPr>
              <w:spacing w:after="0"/>
            </w:pPr>
            <w:r>
              <w:rPr>
                <w:b/>
                <w:bCs/>
                <w:i w:val="false"/>
                <w:iCs w:val="false"/>
                <w:color w:val="FFFFFF"/>
                <w:sz w:val="18"/>
                <w:szCs w:val="18"/>
              </w:rPr>
              <w:t xml:space="preserve">Field</w:t>
            </w:r>
          </w:p>
        </w:tc>
        <w:tc>
          <w:tcPr>
            <w:tcW w:type="dxa" w:w="1000"/>
            <w:shd w:fill="1F3864" w:val="clear"/>
            <w:tcMar>
              <w:top w:type="dxa" w:w="70"/>
              <w:left w:type="dxa" w:w="110"/>
              <w:bottom w:type="dxa" w:w="70"/>
              <w:right w:type="dxa" w:w="110"/>
            </w:tcMar>
          </w:tcPr>
          <w:p>
            <w:pPr>
              <w:spacing w:after="0"/>
            </w:pPr>
            <w:r>
              <w:rPr>
                <w:b/>
                <w:bCs/>
                <w:i w:val="false"/>
                <w:iCs w:val="false"/>
                <w:color w:val="FFFFFF"/>
                <w:sz w:val="18"/>
                <w:szCs w:val="18"/>
              </w:rPr>
              <w:t xml:space="preserve">Type</w:t>
            </w:r>
          </w:p>
        </w:tc>
        <w:tc>
          <w:tcPr>
            <w:tcW w:type="dxa" w:w="620"/>
            <w:shd w:fill="1F3864" w:val="clear"/>
            <w:tcMar>
              <w:top w:type="dxa" w:w="70"/>
              <w:left w:type="dxa" w:w="110"/>
              <w:bottom w:type="dxa" w:w="70"/>
              <w:right w:type="dxa" w:w="110"/>
            </w:tcMar>
          </w:tcPr>
          <w:p>
            <w:pPr>
              <w:spacing w:after="0"/>
            </w:pPr>
            <w:r>
              <w:rPr>
                <w:b/>
                <w:bCs/>
                <w:i w:val="false"/>
                <w:iCs w:val="false"/>
                <w:color w:val="FFFFFF"/>
                <w:sz w:val="18"/>
                <w:szCs w:val="18"/>
              </w:rPr>
              <w:t xml:space="preserve">Req.</w:t>
            </w:r>
          </w:p>
        </w:tc>
        <w:tc>
          <w:tcPr>
            <w:tcW w:type="dxa" w:w="2100"/>
            <w:shd w:fill="1F3864" w:val="clear"/>
            <w:tcMar>
              <w:top w:type="dxa" w:w="70"/>
              <w:left w:type="dxa" w:w="110"/>
              <w:bottom w:type="dxa" w:w="70"/>
              <w:right w:type="dxa" w:w="110"/>
            </w:tcMar>
          </w:tcPr>
          <w:p>
            <w:pPr>
              <w:spacing w:after="0"/>
            </w:pPr>
            <w:r>
              <w:rPr>
                <w:b/>
                <w:bCs/>
                <w:i w:val="false"/>
                <w:iCs w:val="false"/>
                <w:color w:val="FFFFFF"/>
                <w:sz w:val="18"/>
                <w:szCs w:val="18"/>
              </w:rPr>
              <w:t xml:space="preserve">Accepted values / format</w:t>
            </w:r>
          </w:p>
        </w:tc>
        <w:tc>
          <w:tcPr>
            <w:tcW w:type="dxa" w:w="2440"/>
            <w:shd w:fill="1F3864" w:val="clear"/>
            <w:tcMar>
              <w:top w:type="dxa" w:w="70"/>
              <w:left w:type="dxa" w:w="110"/>
              <w:bottom w:type="dxa" w:w="70"/>
              <w:right w:type="dxa" w:w="110"/>
            </w:tcMar>
          </w:tcPr>
          <w:p>
            <w:pPr>
              <w:spacing w:after="0"/>
            </w:pPr>
            <w:r>
              <w:rPr>
                <w:b/>
                <w:bCs/>
                <w:i w:val="false"/>
                <w:iCs w:val="false"/>
                <w:color w:val="FFFFFF"/>
                <w:sz w:val="18"/>
                <w:szCs w:val="18"/>
              </w:rPr>
              <w:t xml:space="preserve">Validation &amp; limits</w:t>
            </w:r>
          </w:p>
        </w:tc>
        <w:tc>
          <w:tcPr>
            <w:tcW w:type="dxa" w:w="1350"/>
            <w:shd w:fill="1F3864" w:val="clear"/>
            <w:tcMar>
              <w:top w:type="dxa" w:w="70"/>
              <w:left w:type="dxa" w:w="110"/>
              <w:bottom w:type="dxa" w:w="70"/>
              <w:right w:type="dxa" w:w="110"/>
            </w:tcMar>
          </w:tcPr>
          <w:p>
            <w:pPr>
              <w:spacing w:after="0"/>
            </w:pPr>
            <w:r>
              <w:rPr>
                <w:b/>
                <w:bCs/>
                <w:i w:val="false"/>
                <w:iCs w:val="false"/>
                <w:color w:val="FFFFFF"/>
                <w:sz w:val="18"/>
                <w:szCs w:val="18"/>
              </w:rPr>
              <w:t xml:space="preserve">Default</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Model name</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Text</w:t>
            </w:r>
          </w:p>
        </w:tc>
        <w:tc>
          <w:tcPr>
            <w:tcW w:type="dxa" w:w="620"/>
            <w:shd w:fill="FFFFFF" w:val="clear"/>
            <w:tcMar>
              <w:top w:type="dxa" w:w="70"/>
              <w:left w:type="dxa" w:w="110"/>
              <w:bottom w:type="dxa" w:w="70"/>
              <w:right w:type="dxa" w:w="110"/>
            </w:tcMar>
          </w:tcPr>
          <w:p>
            <w:pPr>
              <w:spacing w:after="0"/>
            </w:pPr>
            <w:r>
              <w:rPr>
                <w:b/>
                <w:bCs/>
                <w:i w:val="false"/>
                <w:iCs w:val="false"/>
                <w:color w:val="000000"/>
                <w:sz w:val="18"/>
                <w:szCs w:val="18"/>
              </w:rPr>
              <w:t xml:space="preserve">Yes</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Free text.</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HTML required, maxlength 190; server truncates to 190. Blank keeps the current name.</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Current value</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Model currency</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One of the 15 currency codes.</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Uppercased, truncated to 8. Changing it does NOT restate any figure — it only relabels them.</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Current value</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Description</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Text</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Free text.</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maxlength 500.</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Current value</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First forecast year</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Number</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 calendar year.</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HTML min 1990 / max 2200; server accepts any integer, falling back to the current value if unparseable.</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Current value</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Number of historical years</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Number</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1 to 10.</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Server clamps to 1–10.</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Current value</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Number of forecast years</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Number</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1 to 15.</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Server clamps to 1–15.</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Current value</w:t>
            </w:r>
          </w:p>
        </w:tc>
      </w:tr>
    </w:tbl>
    <w:p>
      <w:pPr>
        <w:spacing w:after="80"/>
      </w:pPr>
    </w:p>
    <w:tbl>
      <w:tblPr>
        <w:tblW w:type="dxa" w:w="9360"/>
        <w:tblBorders>
          <w:top w:val="single" w:color="D5DEE8" w:sz="2"/>
          <w:left w:val="single" w:color="C0392B" w:sz="12"/>
          <w:bottom w:val="single" w:color="D5DEE8" w:sz="2"/>
          <w:right w:val="single" w:color="D5DEE8" w:sz="2"/>
          <w:insideH w:val="none"/>
          <w:insideV w:val="none"/>
        </w:tblBorders>
      </w:tblPr>
      <w:tblGrid>
        <w:gridCol w:w="9360"/>
      </w:tblGrid>
      <w:tr>
        <w:tc>
          <w:tcPr>
            <w:tcW w:type="dxa" w:w="9360"/>
            <w:shd w:fill="FDECEC" w:val="clear"/>
            <w:tcMar>
              <w:top w:type="dxa" w:w="120"/>
              <w:left w:type="dxa" w:w="180"/>
              <w:bottom w:type="dxa" w:w="120"/>
              <w:right w:type="dxa" w:w="180"/>
            </w:tcMar>
          </w:tcPr>
          <w:p>
            <w:pPr>
              <w:spacing w:after="60"/>
            </w:pPr>
            <w:r>
              <w:rPr>
                <w:b/>
                <w:bCs/>
                <w:color w:val="1F3864"/>
                <w:sz w:val="20"/>
                <w:szCs w:val="20"/>
              </w:rPr>
              <w:t xml:space="preserve">DEFECT D1 — Saving on this page always fails</w:t>
            </w:r>
          </w:p>
          <w:p>
            <w:pPr>
              <w:spacing w:after="60"/>
            </w:pPr>
            <w:r>
              <w:rPr>
                <w:sz w:val="19"/>
                <w:szCs w:val="19"/>
              </w:rPr>
              <w:t xml:space="preserve">Verified on the running system: posting this form returns the "Something went wrong" error page. The server tries to DELETE FROM driver_years, and no such table exists in the schema (the drivers table is called "drivers").</w:t>
            </w:r>
          </w:p>
          <w:p>
            <w:pPr>
              <w:spacing w:after="60"/>
            </w:pPr>
            <w:r>
              <w:rPr>
                <w:sz w:val="19"/>
                <w:szCs w:val="19"/>
              </w:rPr>
              <w:t xml:space="preserve">Effect: the horizon, name, currency and description of an existing model can never be changed. The only way to get a different horizon is to create a new model.</w:t>
            </w:r>
          </w:p>
          <w:p>
            <w:pPr>
              <w:spacing w:after="0"/>
            </w:pPr>
            <w:r>
              <w:rPr>
                <w:sz w:val="19"/>
                <w:szCs w:val="19"/>
              </w:rPr>
              <w:t xml:space="preserve">Test note: do not spend time designing horizon-change test cases until this is fixed — every one of them will fail at the same point.</w:t>
            </w:r>
          </w:p>
        </w:tc>
      </w:tr>
    </w:tbl>
    <w:p>
      <w:pPr>
        <w:spacing w:after="80"/>
      </w:pPr>
    </w:p>
    <w:p>
      <w:pPr>
        <w:spacing w:after="120"/>
      </w:pPr>
      <w:r>
        <w:rPr>
          <w:b w:val="false"/>
          <w:bCs w:val="false"/>
          <w:i w:val="false"/>
          <w:iCs w:val="false"/>
          <w:sz w:val="20"/>
          <w:szCs w:val="20"/>
        </w:rPr>
        <w:t xml:space="preserve">Intended behaviour once fixed (from the code), so the eventual test cases are known:</w:t>
      </w:r>
    </w:p>
    <w:p>
      <w:pPr>
        <w:pStyle w:val="ListParagraph"/>
        <w:numPr>
          <w:ilvl w:val="0"/>
          <w:numId w:val="3"/>
        </w:numPr>
        <w:spacing w:after="60"/>
      </w:pPr>
      <w:r>
        <w:rPr>
          <w:sz w:val="20"/>
          <w:szCs w:val="20"/>
        </w:rPr>
        <w:t xml:space="preserve">Increasing the forecast years creates blank assumption rows for the new periods.</w:t>
      </w:r>
    </w:p>
    <w:p>
      <w:pPr>
        <w:pStyle w:val="ListParagraph"/>
        <w:numPr>
          <w:ilvl w:val="0"/>
          <w:numId w:val="3"/>
        </w:numPr>
        <w:spacing w:after="60"/>
      </w:pPr>
      <w:r>
        <w:rPr>
          <w:sz w:val="20"/>
          <w:szCs w:val="20"/>
        </w:rPr>
        <w:t xml:space="preserve">Reducing the forecast years deletes assumption rows, driver rows, initiative years, debt-schedule rows and capex assets that fall outside the new horizon.</w:t>
      </w:r>
    </w:p>
    <w:p>
      <w:pPr>
        <w:pStyle w:val="ListParagraph"/>
        <w:numPr>
          <w:ilvl w:val="0"/>
          <w:numId w:val="3"/>
        </w:numPr>
        <w:spacing w:after="60"/>
      </w:pPr>
      <w:r>
        <w:rPr>
          <w:sz w:val="20"/>
          <w:szCs w:val="20"/>
        </w:rPr>
        <w:t xml:space="preserve">Changing the start year or the historical-year count deletes actuals outside the new window, because actuals are keyed by real calendar year.</w:t>
      </w:r>
    </w:p>
    <w:p>
      <w:pPr>
        <w:pStyle w:val="ListParagraph"/>
        <w:numPr>
          <w:ilvl w:val="0"/>
          <w:numId w:val="3"/>
        </w:numPr>
        <w:spacing w:after="60"/>
      </w:pPr>
      <w:r>
        <w:rPr>
          <w:sz w:val="20"/>
          <w:szCs w:val="20"/>
        </w:rPr>
        <w:t xml:space="preserve">An audit-log entry "update:horizon" is written.</w:t>
      </w:r>
    </w:p>
    <w:p>
      <w:pPr>
        <w:spacing w:after="120"/>
      </w:pPr>
    </w:p>
    <w:p>
      <w:pPr>
        <w:pStyle w:val="Heading2"/>
        <w:spacing w:after="120" w:before="280"/>
      </w:pPr>
      <w:r>
        <w:t xml:space="preserve">2.4  Account &amp; access  —  /account</w:t>
      </w:r>
    </w:p>
    <w:p>
      <w:pPr>
        <w:spacing w:after="120"/>
      </w:pPr>
      <w:r>
        <w:rPr>
          <w:b w:val="false"/>
          <w:bCs w:val="false"/>
          <w:i w:val="false"/>
          <w:iCs w:val="false"/>
          <w:sz w:val="20"/>
          <w:szCs w:val="20"/>
        </w:rPr>
        <w:t xml:space="preserve">Purpose: reference only. It answers "what can my role do", "who else has access" and "what changed recently".</w:t>
      </w:r>
    </w:p>
    <w:p>
      <w:pPr>
        <w:spacing w:after="120"/>
      </w:pPr>
      <w:r>
        <w:rPr>
          <w:b w:val="false"/>
          <w:bCs w:val="false"/>
          <w:i w:val="false"/>
          <w:iCs w:val="false"/>
          <w:sz w:val="20"/>
          <w:szCs w:val="20"/>
        </w:rPr>
        <w:t xml:space="preserve">Used by: every signed-in user. There is nothing to edit anywhere on this page.</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200"/>
        <w:gridCol w:w="5560"/>
        <w:gridCol w:w="1600"/>
      </w:tblGrid>
      <w:tr>
        <w:trPr>
          <w:tblHeader/>
        </w:trPr>
        <w:tc>
          <w:tcPr>
            <w:tcW w:type="dxa" w:w="2200"/>
            <w:shd w:fill="1F3864" w:val="clear"/>
            <w:tcMar>
              <w:top w:type="dxa" w:w="70"/>
              <w:left w:type="dxa" w:w="110"/>
              <w:bottom w:type="dxa" w:w="70"/>
              <w:right w:type="dxa" w:w="110"/>
            </w:tcMar>
          </w:tcPr>
          <w:p>
            <w:pPr>
              <w:spacing w:after="0"/>
            </w:pPr>
            <w:r>
              <w:rPr>
                <w:b/>
                <w:bCs/>
                <w:i w:val="false"/>
                <w:iCs w:val="false"/>
                <w:color w:val="FFFFFF"/>
                <w:sz w:val="18"/>
                <w:szCs w:val="18"/>
              </w:rPr>
              <w:t xml:space="preserve">Panel</w:t>
            </w:r>
          </w:p>
        </w:tc>
        <w:tc>
          <w:tcPr>
            <w:tcW w:type="dxa" w:w="5560"/>
            <w:shd w:fill="1F3864" w:val="clear"/>
            <w:tcMar>
              <w:top w:type="dxa" w:w="70"/>
              <w:left w:type="dxa" w:w="110"/>
              <w:bottom w:type="dxa" w:w="70"/>
              <w:right w:type="dxa" w:w="110"/>
            </w:tcMar>
          </w:tcPr>
          <w:p>
            <w:pPr>
              <w:spacing w:after="0"/>
            </w:pPr>
            <w:r>
              <w:rPr>
                <w:b/>
                <w:bCs/>
                <w:i w:val="false"/>
                <w:iCs w:val="false"/>
                <w:color w:val="FFFFFF"/>
                <w:sz w:val="18"/>
                <w:szCs w:val="18"/>
              </w:rPr>
              <w:t xml:space="preserve">Contents</w:t>
            </w:r>
          </w:p>
        </w:tc>
        <w:tc>
          <w:tcPr>
            <w:tcW w:type="dxa" w:w="1600"/>
            <w:shd w:fill="1F3864" w:val="clear"/>
            <w:tcMar>
              <w:top w:type="dxa" w:w="70"/>
              <w:left w:type="dxa" w:w="110"/>
              <w:bottom w:type="dxa" w:w="70"/>
              <w:right w:type="dxa" w:w="110"/>
            </w:tcMar>
          </w:tcPr>
          <w:p>
            <w:pPr>
              <w:spacing w:after="0"/>
            </w:pPr>
            <w:r>
              <w:rPr>
                <w:b/>
                <w:bCs/>
                <w:i w:val="false"/>
                <w:iCs w:val="false"/>
                <w:color w:val="FFFFFF"/>
                <w:sz w:val="18"/>
                <w:szCs w:val="18"/>
              </w:rPr>
              <w:t xml:space="preserve">Visibility</w:t>
            </w:r>
          </w:p>
        </w:tc>
      </w:tr>
      <w:tr>
        <w:tc>
          <w:tcPr>
            <w:tcW w:type="dxa" w:w="2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What your role can do</w:t>
            </w:r>
          </w:p>
        </w:tc>
        <w:tc>
          <w:tcPr>
            <w:tcW w:type="dxa" w:w="55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table of all five roles with Yes/No for view inputs, edit inputs, view outputs, and each role's description. Your own role is badged "You".</w:t>
            </w:r>
          </w:p>
        </w:tc>
        <w:tc>
          <w:tcPr>
            <w:tcW w:type="dxa" w:w="16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Everyone</w:t>
            </w:r>
          </w:p>
        </w:tc>
      </w:tr>
      <w:tr>
        <w:tc>
          <w:tcPr>
            <w:tcW w:type="dxa" w:w="2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People with access</w:t>
            </w:r>
          </w:p>
        </w:tc>
        <w:tc>
          <w:tcPr>
            <w:tcW w:type="dxa" w:w="55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Name, email, role and last sign-in for every user in the company.</w:t>
            </w:r>
          </w:p>
        </w:tc>
        <w:tc>
          <w:tcPr>
            <w:tcW w:type="dxa" w:w="16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Everyone</w:t>
            </w:r>
          </w:p>
        </w:tc>
      </w:tr>
      <w:tr>
        <w:tc>
          <w:tcPr>
            <w:tcW w:type="dxa" w:w="2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Recent changes</w:t>
            </w:r>
          </w:p>
        </w:tc>
        <w:tc>
          <w:tcPr>
            <w:tcW w:type="dxa" w:w="55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last 30 audit entries for the active model: timestamp, who, action key, detail.</w:t>
            </w:r>
          </w:p>
        </w:tc>
        <w:tc>
          <w:tcPr>
            <w:tcW w:type="dxa" w:w="16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Only roles that can view inputs (Administrator, Model manager, Analyst)</w:t>
            </w:r>
          </w:p>
        </w:tc>
      </w:tr>
    </w:tbl>
    <w:p>
      <w:pPr>
        <w:spacing w:after="80"/>
      </w:pPr>
    </w:p>
    <w:tbl>
      <w:tblPr>
        <w:tblW w:type="dxa" w:w="9360"/>
        <w:tblBorders>
          <w:top w:val="single" w:color="D5DEE8" w:sz="2"/>
          <w:left w:val="single" w:color="C0392B" w:sz="12"/>
          <w:bottom w:val="single" w:color="D5DEE8" w:sz="2"/>
          <w:right w:val="single" w:color="D5DEE8" w:sz="2"/>
          <w:insideH w:val="none"/>
          <w:insideV w:val="none"/>
        </w:tblBorders>
      </w:tblPr>
      <w:tblGrid>
        <w:gridCol w:w="9360"/>
      </w:tblGrid>
      <w:tr>
        <w:tc>
          <w:tcPr>
            <w:tcW w:type="dxa" w:w="9360"/>
            <w:shd w:fill="FDECEC" w:val="clear"/>
            <w:tcMar>
              <w:top w:type="dxa" w:w="120"/>
              <w:left w:type="dxa" w:w="180"/>
              <w:bottom w:type="dxa" w:w="120"/>
              <w:right w:type="dxa" w:w="180"/>
            </w:tcMar>
          </w:tcPr>
          <w:p>
            <w:pPr>
              <w:spacing w:after="60"/>
            </w:pPr>
            <w:r>
              <w:rPr>
                <w:b/>
                <w:bCs/>
                <w:color w:val="1F3864"/>
                <w:sz w:val="20"/>
                <w:szCs w:val="20"/>
              </w:rPr>
              <w:t xml:space="preserve">DEFECT D3 / D4 — dead links and no self-service password change</w:t>
            </w:r>
          </w:p>
          <w:p>
            <w:pPr>
              <w:spacing w:after="60"/>
            </w:pPr>
            <w:r>
              <w:rPr>
                <w:sz w:val="19"/>
                <w:szCs w:val="19"/>
              </w:rPr>
              <w:t xml:space="preserve">The Settings menu in the header offers "Profile &amp; password", "My authorities", "Users &amp; profiles" and "Company details", linking to /account#profile, #authorities, #users and #company. None of those anchors exist on this page — the links land on /account and do nothing.</w:t>
            </w:r>
          </w:p>
          <w:p>
            <w:pPr>
              <w:spacing w:after="60"/>
            </w:pPr>
            <w:r>
              <w:rPr>
                <w:sz w:val="19"/>
                <w:szCs w:val="19"/>
              </w:rPr>
              <w:t xml:space="preserve">There is no way anywhere in the product for a user to change their own password. Only a Super administrator can set a password, for someone else, at /admin/users.</w:t>
            </w:r>
          </w:p>
          <w:p>
            <w:pPr>
              <w:spacing w:after="0"/>
            </w:pPr>
            <w:r>
              <w:rPr>
                <w:sz w:val="19"/>
                <w:szCs w:val="19"/>
              </w:rPr>
              <w:t xml:space="preserve">The panel heading is hardcoded to "Everyone in the AlRajhi Group workspace." It will say AlRajhi Group no matter which company is signed in.</w:t>
            </w:r>
          </w:p>
        </w:tc>
      </w:tr>
    </w:tbl>
    <w:p>
      <w:pPr>
        <w:spacing w:after="120"/>
      </w:pPr>
    </w:p>
    <w:p>
      <w:pPr>
        <w:pStyle w:val="Heading2"/>
        <w:spacing w:after="120" w:before="280"/>
      </w:pPr>
      <w:r>
        <w:t xml:space="preserve">2.5  Inputs — shared behaviour on all ten steps</w:t>
      </w:r>
    </w:p>
    <w:p>
      <w:pPr>
        <w:spacing w:after="120"/>
      </w:pPr>
      <w:r>
        <w:rPr>
          <w:b w:val="false"/>
          <w:bCs w:val="false"/>
          <w:i w:val="false"/>
          <w:iCs w:val="false"/>
          <w:sz w:val="20"/>
          <w:szCs w:val="20"/>
        </w:rPr>
        <w:t xml:space="preserve">Every input step is one HTML form with the same toolbar and the same save semantics. Learn this once and it applies to all ten.</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900"/>
        <w:gridCol w:w="3430"/>
        <w:gridCol w:w="4030"/>
      </w:tblGrid>
      <w:tr>
        <w:trPr>
          <w:tblHeader/>
        </w:trPr>
        <w:tc>
          <w:tcPr>
            <w:tcW w:type="dxa" w:w="1900"/>
            <w:shd w:fill="1F3864" w:val="clear"/>
            <w:tcMar>
              <w:top w:type="dxa" w:w="70"/>
              <w:left w:type="dxa" w:w="110"/>
              <w:bottom w:type="dxa" w:w="70"/>
              <w:right w:type="dxa" w:w="110"/>
            </w:tcMar>
          </w:tcPr>
          <w:p>
            <w:pPr>
              <w:spacing w:after="0"/>
            </w:pPr>
            <w:r>
              <w:rPr>
                <w:b/>
                <w:bCs/>
                <w:i w:val="false"/>
                <w:iCs w:val="false"/>
                <w:color w:val="FFFFFF"/>
                <w:sz w:val="18"/>
                <w:szCs w:val="18"/>
              </w:rPr>
              <w:t xml:space="preserve">Control</w:t>
            </w:r>
          </w:p>
        </w:tc>
        <w:tc>
          <w:tcPr>
            <w:tcW w:type="dxa" w:w="3430"/>
            <w:shd w:fill="1F3864" w:val="clear"/>
            <w:tcMar>
              <w:top w:type="dxa" w:w="70"/>
              <w:left w:type="dxa" w:w="110"/>
              <w:bottom w:type="dxa" w:w="70"/>
              <w:right w:type="dxa" w:w="110"/>
            </w:tcMar>
          </w:tcPr>
          <w:p>
            <w:pPr>
              <w:spacing w:after="0"/>
            </w:pPr>
            <w:r>
              <w:rPr>
                <w:b/>
                <w:bCs/>
                <w:i w:val="false"/>
                <w:iCs w:val="false"/>
                <w:color w:val="FFFFFF"/>
                <w:sz w:val="18"/>
                <w:szCs w:val="18"/>
              </w:rPr>
              <w:t xml:space="preserve">What it does</w:t>
            </w:r>
          </w:p>
        </w:tc>
        <w:tc>
          <w:tcPr>
            <w:tcW w:type="dxa" w:w="4030"/>
            <w:shd w:fill="1F3864" w:val="clear"/>
            <w:tcMar>
              <w:top w:type="dxa" w:w="70"/>
              <w:left w:type="dxa" w:w="110"/>
              <w:bottom w:type="dxa" w:w="70"/>
              <w:right w:type="dxa" w:w="110"/>
            </w:tcMar>
          </w:tcPr>
          <w:p>
            <w:pPr>
              <w:spacing w:after="0"/>
            </w:pPr>
            <w:r>
              <w:rPr>
                <w:b/>
                <w:bCs/>
                <w:i w:val="false"/>
                <w:iCs w:val="false"/>
                <w:color w:val="FFFFFF"/>
                <w:sz w:val="18"/>
                <w:szCs w:val="18"/>
              </w:rPr>
              <w:t xml:space="preserve">Expected result</w:t>
            </w:r>
          </w:p>
        </w:tc>
      </w:tr>
      <w:tr>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Back</w:t>
            </w:r>
          </w:p>
        </w:tc>
        <w:tc>
          <w:tcPr>
            <w:tcW w:type="dxa" w:w="34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Saves the current step, then goes to the previous step.</w:t>
            </w:r>
          </w:p>
        </w:tc>
        <w:tc>
          <w:tcPr>
            <w:tcW w:type="dxa" w:w="40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Saved, then redirect to /inputs/(n−1). On step 1 the button is not shown.</w:t>
            </w:r>
          </w:p>
        </w:tc>
      </w:tr>
      <w:tr>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Save</w:t>
            </w:r>
          </w:p>
        </w:tc>
        <w:tc>
          <w:tcPr>
            <w:tcW w:type="dxa" w:w="34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Saves and stays.</w:t>
            </w:r>
          </w:p>
        </w:tc>
        <w:tc>
          <w:tcPr>
            <w:tcW w:type="dxa" w:w="40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Redirect back to the same step with the flash "Saved."</w:t>
            </w:r>
          </w:p>
        </w:tc>
      </w:tr>
      <w:tr>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Save as…</w:t>
            </w:r>
          </w:p>
        </w:tc>
        <w:tc>
          <w:tcPr>
            <w:tcW w:type="dxa" w:w="34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Prompts for a name, duplicates the whole model FIRST, switches the session to the copy, then saves the posted changes into the copy.</w:t>
            </w:r>
          </w:p>
        </w:tc>
        <w:tc>
          <w:tcPr>
            <w:tcW w:type="dxa" w:w="4030"/>
            <w:shd w:fill="FFFFFF" w:val="clear"/>
            <w:tcMar>
              <w:top w:type="dxa" w:w="70"/>
              <w:left w:type="dxa" w:w="110"/>
              <w:bottom w:type="dxa" w:w="70"/>
              <w:right w:type="dxa" w:w="110"/>
            </w:tcMar>
          </w:tcPr>
          <w:p>
            <w:pPr>
              <w:spacing w:after="40"/>
            </w:pPr>
            <w:r>
              <w:rPr>
                <w:b w:val="false"/>
                <w:bCs w:val="false"/>
                <w:i w:val="false"/>
                <w:iCs w:val="false"/>
                <w:color w:val="000000"/>
                <w:sz w:val="18"/>
                <w:szCs w:val="18"/>
              </w:rPr>
              <w:t xml:space="preserve">The model on screen keeps whatever was last saved to it — your edits land in the new copy only. Flash: 'Saved as "X". You are now working in the copy.' Cancelling the prompt aborts the submit entirely, so no copy is made.</w:t>
            </w:r>
          </w:p>
          <w:p>
            <w:pPr>
              <w:spacing w:after="0"/>
            </w:pPr>
            <w:r>
              <w:rPr>
                <w:b w:val="false"/>
                <w:bCs w:val="false"/>
                <w:i w:val="false"/>
                <w:iCs w:val="false"/>
                <w:color w:val="000000"/>
                <w:sz w:val="18"/>
                <w:szCs w:val="18"/>
              </w:rPr>
              <w:t xml:space="preserve">Blank name defaults to "&lt;model name&gt; (copy)".</w:t>
            </w:r>
          </w:p>
        </w:tc>
      </w:tr>
      <w:tr>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Save &amp; continue</w:t>
            </w:r>
          </w:p>
        </w:tc>
        <w:tc>
          <w:tcPr>
            <w:tcW w:type="dxa" w:w="34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Saves and advances.</w:t>
            </w:r>
          </w:p>
        </w:tc>
        <w:tc>
          <w:tcPr>
            <w:tcW w:type="dxa" w:w="40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Redirect to /inputs/(n+1). Shown on steps 1–9.</w:t>
            </w:r>
          </w:p>
        </w:tc>
      </w:tr>
      <w:tr>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Save &amp; calculate</w:t>
            </w:r>
          </w:p>
        </w:tc>
        <w:tc>
          <w:tcPr>
            <w:tcW w:type="dxa" w:w="34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Saves and jumps to the outputs.</w:t>
            </w:r>
          </w:p>
        </w:tc>
        <w:tc>
          <w:tcPr>
            <w:tcW w:type="dxa" w:w="40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Redirect to /outputs/dashboard. Shown on step 10 only.</w:t>
            </w:r>
          </w:p>
        </w:tc>
      </w:tr>
      <w:tr>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Undo / Redo (top bar, or Ctrl+Z / Ctrl+Shift+Z)</w:t>
            </w:r>
          </w:p>
        </w:tc>
        <w:tc>
          <w:tcPr>
            <w:tcW w:type="dxa" w:w="34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Client-side only. Snapshots every field on change/blur and steps backwards or forwards through them.</w:t>
            </w:r>
          </w:p>
        </w:tc>
        <w:tc>
          <w:tcPr>
            <w:tcW w:type="dxa" w:w="4030"/>
            <w:shd w:fill="F7F9FC" w:val="clear"/>
            <w:tcMar>
              <w:top w:type="dxa" w:w="70"/>
              <w:left w:type="dxa" w:w="110"/>
              <w:bottom w:type="dxa" w:w="70"/>
              <w:right w:type="dxa" w:w="110"/>
            </w:tcMar>
          </w:tcPr>
          <w:p>
            <w:pPr>
              <w:spacing w:after="40"/>
            </w:pPr>
            <w:r>
              <w:rPr>
                <w:b w:val="false"/>
                <w:bCs w:val="false"/>
                <w:i w:val="false"/>
                <w:iCs w:val="false"/>
                <w:color w:val="000000"/>
                <w:sz w:val="18"/>
                <w:szCs w:val="18"/>
              </w:rPr>
              <w:t xml:space="preserve">Restores field values in the browser. Nothing is written to the server until you press a Save button. Reloading the page loses the undo history.</w:t>
            </w:r>
          </w:p>
          <w:p>
            <w:pPr>
              <w:spacing w:after="0"/>
            </w:pPr>
            <w:r>
              <w:rPr>
                <w:b w:val="false"/>
                <w:bCs w:val="false"/>
                <w:i w:val="false"/>
                <w:iCs w:val="false"/>
                <w:color w:val="000000"/>
                <w:sz w:val="18"/>
                <w:szCs w:val="18"/>
              </w:rPr>
              <w:t xml:space="preserve">Disabled for read-only roles.</w:t>
            </w:r>
          </w:p>
        </w:tc>
      </w:tr>
      <w:tr>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"How many" counter (on steps 1, 2, 7, 8, 9)</w:t>
            </w:r>
          </w:p>
        </w:tc>
        <w:tc>
          <w:tcPr>
            <w:tcW w:type="dxa" w:w="34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Reloads the page with a row count in the query string.</w:t>
            </w:r>
          </w:p>
        </w:tc>
        <w:tc>
          <w:tcPr>
            <w:tcW w:type="dxa" w:w="40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full page navigation — any unsaved edits on screen are lost. Reducing the count and saving deletes the removed rows.</w:t>
            </w:r>
          </w:p>
        </w:tc>
      </w:tr>
      <w:tr>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Step chips</w:t>
            </w:r>
          </w:p>
        </w:tc>
        <w:tc>
          <w:tcPr>
            <w:tcW w:type="dxa" w:w="34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Direct navigation to any step.</w:t>
            </w:r>
          </w:p>
        </w:tc>
        <w:tc>
          <w:tcPr>
            <w:tcW w:type="dxa" w:w="40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Plain links — they do NOT save first. Unsaved edits are lost.</w:t>
            </w:r>
          </w:p>
        </w:tc>
      </w:tr>
    </w:tbl>
    <w:p>
      <w:pPr>
        <w:spacing w:after="80"/>
      </w:pPr>
    </w:p>
    <w:tbl>
      <w:tblPr>
        <w:tblW w:type="dxa" w:w="9360"/>
        <w:tblBorders>
          <w:top w:val="single" w:color="D5DEE8" w:sz="2"/>
          <w:left w:val="single" w:color="D48806" w:sz="12"/>
          <w:bottom w:val="single" w:color="D5DEE8" w:sz="2"/>
          <w:right w:val="single" w:color="D5DEE8" w:sz="2"/>
          <w:insideH w:val="none"/>
          <w:insideV w:val="none"/>
        </w:tblBorders>
      </w:tblPr>
      <w:tblGrid>
        <w:gridCol w:w="9360"/>
      </w:tblGrid>
      <w:tr>
        <w:tc>
          <w:tcPr>
            <w:tcW w:type="dxa" w:w="9360"/>
            <w:shd w:fill="FFF4E0" w:val="clear"/>
            <w:tcMar>
              <w:top w:type="dxa" w:w="120"/>
              <w:left w:type="dxa" w:w="180"/>
              <w:bottom w:type="dxa" w:w="120"/>
              <w:right w:type="dxa" w:w="180"/>
            </w:tcMar>
          </w:tcPr>
          <w:p>
            <w:pPr>
              <w:spacing w:after="60"/>
            </w:pPr>
            <w:r>
              <w:rPr>
                <w:b/>
                <w:bCs/>
                <w:color w:val="1F3864"/>
                <w:sz w:val="20"/>
                <w:szCs w:val="20"/>
              </w:rPr>
              <w:t xml:space="preserve">Three save behaviours QA must design around</w:t>
            </w:r>
          </w:p>
          <w:p>
            <w:pPr>
              <w:spacing w:after="60"/>
            </w:pPr>
            <w:r>
              <w:rPr>
                <w:sz w:val="19"/>
                <w:szCs w:val="19"/>
              </w:rPr>
              <w:t xml:space="preserve">1. "Blank means delete." On steps 1, 7, 8 and 9 a row whose NAME is blank is filtered out before saving, and the save replaces the whole set. Clearing a name therefore deletes that row and everything recorded against it.</w:t>
            </w:r>
          </w:p>
          <w:p>
            <w:pPr>
              <w:spacing w:after="60"/>
            </w:pPr>
            <w:r>
              <w:rPr>
                <w:sz w:val="19"/>
                <w:szCs w:val="19"/>
              </w:rPr>
              <w:t xml:space="preserve">2. "Absent means keep." On steps 2, 3, 5, 6 and 9 a field missing from the POST body keeps its stored value; a field present but empty becomes 0. This matters when testing with tools that post partial bodies.</w:t>
            </w:r>
          </w:p>
          <w:p>
            <w:pPr>
              <w:spacing w:after="0"/>
            </w:pPr>
            <w:r>
              <w:rPr>
                <w:sz w:val="19"/>
                <w:szCs w:val="19"/>
              </w:rPr>
              <w:t xml:space="preserve">3. Row counts are a query-string reload, not a client-side add. Raising the count before saving loses unsaved edits.</w:t>
            </w:r>
          </w:p>
        </w:tc>
      </w:tr>
    </w:tbl>
    <w:p>
      <w:pPr>
        <w:spacing w:after="120"/>
      </w:pPr>
    </w:p>
    <w:p>
      <w:pPr>
        <w:pStyle w:val="Heading2"/>
        <w:spacing w:after="120" w:before="280"/>
      </w:pPr>
      <w:r>
        <w:t xml:space="preserve">2.6  Input step 1 — Business units  —  /inputs/1</w:t>
      </w:r>
    </w:p>
    <w:p>
      <w:pPr>
        <w:spacing w:after="120"/>
      </w:pPr>
      <w:r>
        <w:rPr>
          <w:b w:val="false"/>
          <w:bCs w:val="false"/>
          <w:i w:val="false"/>
          <w:iCs w:val="false"/>
          <w:sz w:val="20"/>
          <w:szCs w:val="20"/>
        </w:rPr>
        <w:t xml:space="preserve">Purpose: name the product lines or segments. Everything downstream — actuals, growth, costs, initiatives — is collected per unit, and the group total is always the sum of the units.</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850"/>
        <w:gridCol w:w="1000"/>
        <w:gridCol w:w="620"/>
        <w:gridCol w:w="2100"/>
        <w:gridCol w:w="2440"/>
        <w:gridCol w:w="1350"/>
      </w:tblGrid>
      <w:tr>
        <w:trPr>
          <w:tblHeader/>
        </w:trPr>
        <w:tc>
          <w:tcPr>
            <w:tcW w:type="dxa" w:w="1850"/>
            <w:shd w:fill="1F3864" w:val="clear"/>
            <w:tcMar>
              <w:top w:type="dxa" w:w="70"/>
              <w:left w:type="dxa" w:w="110"/>
              <w:bottom w:type="dxa" w:w="70"/>
              <w:right w:type="dxa" w:w="110"/>
            </w:tcMar>
          </w:tcPr>
          <w:p>
            <w:pPr>
              <w:spacing w:after="0"/>
            </w:pPr>
            <w:r>
              <w:rPr>
                <w:b/>
                <w:bCs/>
                <w:i w:val="false"/>
                <w:iCs w:val="false"/>
                <w:color w:val="FFFFFF"/>
                <w:sz w:val="18"/>
                <w:szCs w:val="18"/>
              </w:rPr>
              <w:t xml:space="preserve">Field</w:t>
            </w:r>
          </w:p>
        </w:tc>
        <w:tc>
          <w:tcPr>
            <w:tcW w:type="dxa" w:w="1000"/>
            <w:shd w:fill="1F3864" w:val="clear"/>
            <w:tcMar>
              <w:top w:type="dxa" w:w="70"/>
              <w:left w:type="dxa" w:w="110"/>
              <w:bottom w:type="dxa" w:w="70"/>
              <w:right w:type="dxa" w:w="110"/>
            </w:tcMar>
          </w:tcPr>
          <w:p>
            <w:pPr>
              <w:spacing w:after="0"/>
            </w:pPr>
            <w:r>
              <w:rPr>
                <w:b/>
                <w:bCs/>
                <w:i w:val="false"/>
                <w:iCs w:val="false"/>
                <w:color w:val="FFFFFF"/>
                <w:sz w:val="18"/>
                <w:szCs w:val="18"/>
              </w:rPr>
              <w:t xml:space="preserve">Type</w:t>
            </w:r>
          </w:p>
        </w:tc>
        <w:tc>
          <w:tcPr>
            <w:tcW w:type="dxa" w:w="620"/>
            <w:shd w:fill="1F3864" w:val="clear"/>
            <w:tcMar>
              <w:top w:type="dxa" w:w="70"/>
              <w:left w:type="dxa" w:w="110"/>
              <w:bottom w:type="dxa" w:w="70"/>
              <w:right w:type="dxa" w:w="110"/>
            </w:tcMar>
          </w:tcPr>
          <w:p>
            <w:pPr>
              <w:spacing w:after="0"/>
            </w:pPr>
            <w:r>
              <w:rPr>
                <w:b/>
                <w:bCs/>
                <w:i w:val="false"/>
                <w:iCs w:val="false"/>
                <w:color w:val="FFFFFF"/>
                <w:sz w:val="18"/>
                <w:szCs w:val="18"/>
              </w:rPr>
              <w:t xml:space="preserve">Req.</w:t>
            </w:r>
          </w:p>
        </w:tc>
        <w:tc>
          <w:tcPr>
            <w:tcW w:type="dxa" w:w="2100"/>
            <w:shd w:fill="1F3864" w:val="clear"/>
            <w:tcMar>
              <w:top w:type="dxa" w:w="70"/>
              <w:left w:type="dxa" w:w="110"/>
              <w:bottom w:type="dxa" w:w="70"/>
              <w:right w:type="dxa" w:w="110"/>
            </w:tcMar>
          </w:tcPr>
          <w:p>
            <w:pPr>
              <w:spacing w:after="0"/>
            </w:pPr>
            <w:r>
              <w:rPr>
                <w:b/>
                <w:bCs/>
                <w:i w:val="false"/>
                <w:iCs w:val="false"/>
                <w:color w:val="FFFFFF"/>
                <w:sz w:val="18"/>
                <w:szCs w:val="18"/>
              </w:rPr>
              <w:t xml:space="preserve">Accepted values / format</w:t>
            </w:r>
          </w:p>
        </w:tc>
        <w:tc>
          <w:tcPr>
            <w:tcW w:type="dxa" w:w="2440"/>
            <w:shd w:fill="1F3864" w:val="clear"/>
            <w:tcMar>
              <w:top w:type="dxa" w:w="70"/>
              <w:left w:type="dxa" w:w="110"/>
              <w:bottom w:type="dxa" w:w="70"/>
              <w:right w:type="dxa" w:w="110"/>
            </w:tcMar>
          </w:tcPr>
          <w:p>
            <w:pPr>
              <w:spacing w:after="0"/>
            </w:pPr>
            <w:r>
              <w:rPr>
                <w:b/>
                <w:bCs/>
                <w:i w:val="false"/>
                <w:iCs w:val="false"/>
                <w:color w:val="FFFFFF"/>
                <w:sz w:val="18"/>
                <w:szCs w:val="18"/>
              </w:rPr>
              <w:t xml:space="preserve">Validation &amp; limits</w:t>
            </w:r>
          </w:p>
        </w:tc>
        <w:tc>
          <w:tcPr>
            <w:tcW w:type="dxa" w:w="1350"/>
            <w:shd w:fill="1F3864" w:val="clear"/>
            <w:tcMar>
              <w:top w:type="dxa" w:w="70"/>
              <w:left w:type="dxa" w:w="110"/>
              <w:bottom w:type="dxa" w:w="70"/>
              <w:right w:type="dxa" w:w="110"/>
            </w:tcMar>
          </w:tcPr>
          <w:p>
            <w:pPr>
              <w:spacing w:after="0"/>
            </w:pPr>
            <w:r>
              <w:rPr>
                <w:b/>
                <w:bCs/>
                <w:i w:val="false"/>
                <w:iCs w:val="false"/>
                <w:color w:val="FFFFFF"/>
                <w:sz w:val="18"/>
                <w:szCs w:val="18"/>
              </w:rPr>
              <w:t xml:space="preserve">Default</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How many</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Number (page control, not saved)</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An integer.</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Clamped to 1–60. Changing it reloads the page as /inputs/1?count=N. Defaults to the number of units that exist (minimum 1).</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Current unit count</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Business unit name (one per row)</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Text</w:t>
            </w:r>
          </w:p>
        </w:tc>
        <w:tc>
          <w:tcPr>
            <w:tcW w:type="dxa" w:w="620"/>
            <w:shd w:fill="F7F9FC" w:val="clear"/>
            <w:tcMar>
              <w:top w:type="dxa" w:w="70"/>
              <w:left w:type="dxa" w:w="110"/>
              <w:bottom w:type="dxa" w:w="70"/>
              <w:right w:type="dxa" w:w="110"/>
            </w:tcMar>
          </w:tcPr>
          <w:p>
            <w:pPr>
              <w:spacing w:after="0"/>
            </w:pPr>
            <w:r>
              <w:rPr>
                <w:b/>
                <w:bCs/>
                <w:i w:val="false"/>
                <w:iCs w:val="false"/>
                <w:color w:val="000000"/>
                <w:sz w:val="18"/>
                <w:szCs w:val="18"/>
              </w:rPr>
              <w:t xml:space="preserve">At least one</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Free text.</w:t>
            </w:r>
          </w:p>
        </w:tc>
        <w:tc>
          <w:tcPr>
            <w:tcW w:type="dxa" w:w="2440"/>
            <w:shd w:fill="F7F9FC" w:val="clear"/>
            <w:tcMar>
              <w:top w:type="dxa" w:w="70"/>
              <w:left w:type="dxa" w:w="110"/>
              <w:bottom w:type="dxa" w:w="70"/>
              <w:right w:type="dxa" w:w="110"/>
            </w:tcMar>
          </w:tcPr>
          <w:p>
            <w:pPr>
              <w:spacing w:after="40"/>
            </w:pPr>
            <w:r>
              <w:rPr>
                <w:b w:val="false"/>
                <w:bCs w:val="false"/>
                <w:i w:val="false"/>
                <w:iCs w:val="false"/>
                <w:color w:val="000000"/>
                <w:sz w:val="18"/>
                <w:szCs w:val="18"/>
              </w:rPr>
              <w:t xml:space="preserve">Trimmed. Blank rows are ignored. Names must be unique within the model (enforced by a database constraint) — a duplicate name causes a 500 error page, not a friendly message.</w:t>
            </w:r>
          </w:p>
          <w:p>
            <w:pPr>
              <w:spacing w:after="0"/>
            </w:pPr>
            <w:r>
              <w:rPr>
                <w:b w:val="false"/>
                <w:bCs w:val="false"/>
                <w:i w:val="false"/>
                <w:iCs w:val="false"/>
                <w:color w:val="000000"/>
                <w:sz w:val="18"/>
                <w:szCs w:val="18"/>
              </w:rPr>
              <w:t xml:space="preserve">No length validation in the form; the column holds 160 characters.</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Existing name, or empty</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Status column</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Read-only badge</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"Saved" or "Empty".</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Display only.</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w:t>
            </w:r>
          </w:p>
        </w:tc>
      </w:tr>
    </w:tbl>
    <w:p>
      <w:pPr>
        <w:spacing w:after="80"/>
      </w:pPr>
    </w:p>
    <w:p>
      <w:pPr>
        <w:pStyle w:val="Heading3"/>
        <w:spacing w:after="100" w:before="220"/>
      </w:pPr>
      <w:r>
        <w:t xml:space="preserve">Rules and consequences</w:t>
      </w:r>
    </w:p>
    <w:p>
      <w:pPr>
        <w:pStyle w:val="ListParagraph"/>
        <w:numPr>
          <w:ilvl w:val="0"/>
          <w:numId w:val="3"/>
        </w:numPr>
        <w:spacing w:after="60"/>
      </w:pPr>
      <w:r>
        <w:rPr>
          <w:sz w:val="20"/>
          <w:szCs w:val="20"/>
        </w:rPr>
        <w:t xml:space="preserve">Units are matched by hidden id, so RENAMING a unit keeps all of its data.</w:t>
      </w:r>
    </w:p>
    <w:p>
      <w:pPr>
        <w:pStyle w:val="ListParagraph"/>
        <w:numPr>
          <w:ilvl w:val="0"/>
          <w:numId w:val="3"/>
        </w:numPr>
        <w:spacing w:after="60"/>
      </w:pPr>
      <w:r>
        <w:rPr>
          <w:sz w:val="20"/>
          <w:szCs w:val="20"/>
        </w:rPr>
        <w:t xml:space="preserve">CLEARING a saved name deletes that unit and, by database cascade, its actuals, drivers and any initiatives owned by it. There is no confirmation prompt and no undo.</w:t>
      </w:r>
    </w:p>
    <w:p>
      <w:pPr>
        <w:pStyle w:val="ListParagraph"/>
        <w:numPr>
          <w:ilvl w:val="0"/>
          <w:numId w:val="3"/>
        </w:numPr>
        <w:spacing w:after="60"/>
      </w:pPr>
      <w:r>
        <w:rPr>
          <w:sz w:val="20"/>
          <w:szCs w:val="20"/>
        </w:rPr>
        <w:t xml:space="preserve">ADDING a name creates the unit and immediately seeds blank driver rows for it — 3 scenarios × forecast years — so steps 5 and 6 have rows to fill.</w:t>
      </w:r>
    </w:p>
    <w:p>
      <w:pPr>
        <w:pStyle w:val="ListParagraph"/>
        <w:numPr>
          <w:ilvl w:val="0"/>
          <w:numId w:val="3"/>
        </w:numPr>
        <w:spacing w:after="60"/>
      </w:pPr>
      <w:r>
        <w:rPr>
          <w:sz w:val="20"/>
          <w:szCs w:val="20"/>
        </w:rPr>
        <w:t xml:space="preserve">If the whole list is submitted blank, nothing is saved at all (the save is skipped) and you are redirected as normal with "Saved." — a misleading message.</w:t>
      </w:r>
    </w:p>
    <w:p>
      <w:pPr>
        <w:pStyle w:val="ListParagraph"/>
        <w:numPr>
          <w:ilvl w:val="0"/>
          <w:numId w:val="3"/>
        </w:numPr>
        <w:spacing w:after="60"/>
      </w:pPr>
      <w:r>
        <w:rPr>
          <w:sz w:val="20"/>
          <w:szCs w:val="20"/>
        </w:rPr>
        <w:t xml:space="preserve">If the model's "default segment" (step 2) pointed at a unit that no longer exists, it is reset to "Total — all business units".</w:t>
      </w:r>
    </w:p>
    <w:p>
      <w:pPr>
        <w:pStyle w:val="ListParagraph"/>
        <w:numPr>
          <w:ilvl w:val="0"/>
          <w:numId w:val="3"/>
        </w:numPr>
        <w:spacing w:after="60"/>
      </w:pPr>
      <w:r>
        <w:rPr>
          <w:sz w:val="20"/>
          <w:szCs w:val="20"/>
        </w:rPr>
        <w:t xml:space="preserve">Row order on screen becomes the sort order stored against each unit.</w:t>
      </w:r>
    </w:p>
    <w:p>
      <w:pPr>
        <w:spacing w:after="80"/>
      </w:pPr>
    </w:p>
    <w:tbl>
      <w:tblPr>
        <w:tblW w:type="dxa" w:w="9360"/>
        <w:tblBorders>
          <w:top w:val="single" w:color="D5DEE8" w:sz="2"/>
          <w:left w:val="single" w:color="C0392B" w:sz="12"/>
          <w:bottom w:val="single" w:color="D5DEE8" w:sz="2"/>
          <w:right w:val="single" w:color="D5DEE8" w:sz="2"/>
          <w:insideH w:val="none"/>
          <w:insideV w:val="none"/>
        </w:tblBorders>
      </w:tblPr>
      <w:tblGrid>
        <w:gridCol w:w="9360"/>
      </w:tblGrid>
      <w:tr>
        <w:tc>
          <w:tcPr>
            <w:tcW w:type="dxa" w:w="9360"/>
            <w:shd w:fill="FDECEC" w:val="clear"/>
            <w:tcMar>
              <w:top w:type="dxa" w:w="120"/>
              <w:left w:type="dxa" w:w="180"/>
              <w:bottom w:type="dxa" w:w="120"/>
              <w:right w:type="dxa" w:w="180"/>
            </w:tcMar>
          </w:tcPr>
          <w:p>
            <w:pPr>
              <w:spacing w:after="60"/>
            </w:pPr>
            <w:r>
              <w:rPr>
                <w:b/>
                <w:bCs/>
                <w:color w:val="1F3864"/>
                <w:sz w:val="20"/>
                <w:szCs w:val="20"/>
              </w:rPr>
              <w:t xml:space="preserve">High-risk destructive action — test it deliberately, on a throwaway model</w:t>
            </w:r>
          </w:p>
          <w:p>
            <w:pPr>
              <w:spacing w:after="60"/>
            </w:pPr>
            <w:r>
              <w:rPr>
                <w:sz w:val="19"/>
                <w:szCs w:val="19"/>
              </w:rPr>
              <w:t xml:space="preserve">Saving step 1 with fewer names than exist permanently deletes the missing units and all their data, with no warning dialog. The on-screen hint says so in small print ("Clearing a saved name deletes that unit and everything recorded against it") but nothing blocks it.</w:t>
            </w:r>
          </w:p>
          <w:p>
            <w:pPr>
              <w:spacing w:after="0"/>
            </w:pPr>
            <w:r>
              <w:rPr>
                <w:sz w:val="19"/>
                <w:szCs w:val="19"/>
              </w:rPr>
              <w:t xml:space="preserve">Whether this should require confirmation is a business decision — see U1.</w:t>
            </w:r>
          </w:p>
        </w:tc>
      </w:tr>
    </w:tbl>
    <w:p>
      <w:pPr>
        <w:spacing w:after="120"/>
      </w:pPr>
    </w:p>
    <w:p>
      <w:pPr>
        <w:pStyle w:val="Heading2"/>
        <w:spacing w:after="120" w:before="280"/>
      </w:pPr>
      <w:r>
        <w:t xml:space="preserve">2.7  Input step 2 — Timeline &amp; policy  —  /inputs/2</w:t>
      </w:r>
    </w:p>
    <w:p>
      <w:pPr>
        <w:spacing w:after="120"/>
      </w:pPr>
      <w:r>
        <w:rPr>
          <w:b w:val="false"/>
          <w:bCs w:val="false"/>
          <w:i w:val="false"/>
          <w:iCs w:val="false"/>
          <w:sz w:val="20"/>
          <w:szCs w:val="20"/>
        </w:rPr>
        <w:t xml:space="preserve">Purpose: the model-wide settings — which scenario and segment open by default, the inflation path, the levies charged, and the depreciation defaults.</w:t>
      </w:r>
    </w:p>
    <w:p>
      <w:pPr>
        <w:spacing w:after="120"/>
      </w:pPr>
      <w:r>
        <w:rPr>
          <w:b w:val="false"/>
          <w:bCs w:val="false"/>
          <w:i w:val="false"/>
          <w:iCs w:val="false"/>
          <w:sz w:val="20"/>
          <w:szCs w:val="20"/>
        </w:rPr>
        <w:t xml:space="preserve">The horizon panel at the top is READ-ONLY here (model name, currency, first forecast year, closed years, forecast years) with a "Change horizon" link to the model settings page.</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850"/>
        <w:gridCol w:w="1000"/>
        <w:gridCol w:w="620"/>
        <w:gridCol w:w="2100"/>
        <w:gridCol w:w="2440"/>
        <w:gridCol w:w="1350"/>
      </w:tblGrid>
      <w:tr>
        <w:trPr>
          <w:tblHeader/>
        </w:trPr>
        <w:tc>
          <w:tcPr>
            <w:tcW w:type="dxa" w:w="1850"/>
            <w:shd w:fill="1F3864" w:val="clear"/>
            <w:tcMar>
              <w:top w:type="dxa" w:w="70"/>
              <w:left w:type="dxa" w:w="110"/>
              <w:bottom w:type="dxa" w:w="70"/>
              <w:right w:type="dxa" w:w="110"/>
            </w:tcMar>
          </w:tcPr>
          <w:p>
            <w:pPr>
              <w:spacing w:after="0"/>
            </w:pPr>
            <w:r>
              <w:rPr>
                <w:b/>
                <w:bCs/>
                <w:i w:val="false"/>
                <w:iCs w:val="false"/>
                <w:color w:val="FFFFFF"/>
                <w:sz w:val="18"/>
                <w:szCs w:val="18"/>
              </w:rPr>
              <w:t xml:space="preserve">Field</w:t>
            </w:r>
          </w:p>
        </w:tc>
        <w:tc>
          <w:tcPr>
            <w:tcW w:type="dxa" w:w="1000"/>
            <w:shd w:fill="1F3864" w:val="clear"/>
            <w:tcMar>
              <w:top w:type="dxa" w:w="70"/>
              <w:left w:type="dxa" w:w="110"/>
              <w:bottom w:type="dxa" w:w="70"/>
              <w:right w:type="dxa" w:w="110"/>
            </w:tcMar>
          </w:tcPr>
          <w:p>
            <w:pPr>
              <w:spacing w:after="0"/>
            </w:pPr>
            <w:r>
              <w:rPr>
                <w:b/>
                <w:bCs/>
                <w:i w:val="false"/>
                <w:iCs w:val="false"/>
                <w:color w:val="FFFFFF"/>
                <w:sz w:val="18"/>
                <w:szCs w:val="18"/>
              </w:rPr>
              <w:t xml:space="preserve">Type</w:t>
            </w:r>
          </w:p>
        </w:tc>
        <w:tc>
          <w:tcPr>
            <w:tcW w:type="dxa" w:w="620"/>
            <w:shd w:fill="1F3864" w:val="clear"/>
            <w:tcMar>
              <w:top w:type="dxa" w:w="70"/>
              <w:left w:type="dxa" w:w="110"/>
              <w:bottom w:type="dxa" w:w="70"/>
              <w:right w:type="dxa" w:w="110"/>
            </w:tcMar>
          </w:tcPr>
          <w:p>
            <w:pPr>
              <w:spacing w:after="0"/>
            </w:pPr>
            <w:r>
              <w:rPr>
                <w:b/>
                <w:bCs/>
                <w:i w:val="false"/>
                <w:iCs w:val="false"/>
                <w:color w:val="FFFFFF"/>
                <w:sz w:val="18"/>
                <w:szCs w:val="18"/>
              </w:rPr>
              <w:t xml:space="preserve">Req.</w:t>
            </w:r>
          </w:p>
        </w:tc>
        <w:tc>
          <w:tcPr>
            <w:tcW w:type="dxa" w:w="2100"/>
            <w:shd w:fill="1F3864" w:val="clear"/>
            <w:tcMar>
              <w:top w:type="dxa" w:w="70"/>
              <w:left w:type="dxa" w:w="110"/>
              <w:bottom w:type="dxa" w:w="70"/>
              <w:right w:type="dxa" w:w="110"/>
            </w:tcMar>
          </w:tcPr>
          <w:p>
            <w:pPr>
              <w:spacing w:after="0"/>
            </w:pPr>
            <w:r>
              <w:rPr>
                <w:b/>
                <w:bCs/>
                <w:i w:val="false"/>
                <w:iCs w:val="false"/>
                <w:color w:val="FFFFFF"/>
                <w:sz w:val="18"/>
                <w:szCs w:val="18"/>
              </w:rPr>
              <w:t xml:space="preserve">Accepted values / format</w:t>
            </w:r>
          </w:p>
        </w:tc>
        <w:tc>
          <w:tcPr>
            <w:tcW w:type="dxa" w:w="2440"/>
            <w:shd w:fill="1F3864" w:val="clear"/>
            <w:tcMar>
              <w:top w:type="dxa" w:w="70"/>
              <w:left w:type="dxa" w:w="110"/>
              <w:bottom w:type="dxa" w:w="70"/>
              <w:right w:type="dxa" w:w="110"/>
            </w:tcMar>
          </w:tcPr>
          <w:p>
            <w:pPr>
              <w:spacing w:after="0"/>
            </w:pPr>
            <w:r>
              <w:rPr>
                <w:b/>
                <w:bCs/>
                <w:i w:val="false"/>
                <w:iCs w:val="false"/>
                <w:color w:val="FFFFFF"/>
                <w:sz w:val="18"/>
                <w:szCs w:val="18"/>
              </w:rPr>
              <w:t xml:space="preserve">Validation &amp; limits</w:t>
            </w:r>
          </w:p>
        </w:tc>
        <w:tc>
          <w:tcPr>
            <w:tcW w:type="dxa" w:w="1350"/>
            <w:shd w:fill="1F3864" w:val="clear"/>
            <w:tcMar>
              <w:top w:type="dxa" w:w="70"/>
              <w:left w:type="dxa" w:w="110"/>
              <w:bottom w:type="dxa" w:w="70"/>
              <w:right w:type="dxa" w:w="110"/>
            </w:tcMar>
          </w:tcPr>
          <w:p>
            <w:pPr>
              <w:spacing w:after="0"/>
            </w:pPr>
            <w:r>
              <w:rPr>
                <w:b/>
                <w:bCs/>
                <w:i w:val="false"/>
                <w:iCs w:val="false"/>
                <w:color w:val="FFFFFF"/>
                <w:sz w:val="18"/>
                <w:szCs w:val="18"/>
              </w:rPr>
              <w:t xml:space="preserve">Default</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Default scenario</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Best / Base / Worst.</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Anything else falls back to "base".</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base</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Default segment</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"Total — all business units", or one unit name.</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 validation that the name still exists at save time; an unknown value is stored as typed and later treated as "all".</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__ALL__</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Days in period</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Number</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Normally 365.</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Parsed as a number; 0 or unparseable falls back to 365. Used as the divisor for every working-capital day count.</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365</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Inflation rate (one per forecast year)</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Percentage</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Whole percentage, e.g. 2 for 2%.</w:t>
            </w:r>
          </w:p>
        </w:tc>
        <w:tc>
          <w:tcPr>
            <w:tcW w:type="dxa" w:w="2440"/>
            <w:shd w:fill="F7F9FC" w:val="clear"/>
            <w:tcMar>
              <w:top w:type="dxa" w:w="70"/>
              <w:left w:type="dxa" w:w="110"/>
              <w:bottom w:type="dxa" w:w="70"/>
              <w:right w:type="dxa" w:w="110"/>
            </w:tcMar>
          </w:tcPr>
          <w:p>
            <w:pPr>
              <w:spacing w:after="40"/>
            </w:pPr>
            <w:r>
              <w:rPr>
                <w:b w:val="false"/>
                <w:bCs w:val="false"/>
                <w:i w:val="false"/>
                <w:iCs w:val="false"/>
                <w:color w:val="000000"/>
                <w:sz w:val="18"/>
                <w:szCs w:val="18"/>
              </w:rPr>
              <w:t xml:space="preserve">Typed as a whole percentage (92.5 → 0.925). Same tolerant parser; unreadable becomes 0. No min/max — negatives and values over 100 are accepted.</w:t>
            </w:r>
          </w:p>
          <w:p>
            <w:pPr>
              <w:spacing w:after="0"/>
            </w:pPr>
            <w:r>
              <w:rPr>
                <w:b w:val="false"/>
                <w:bCs w:val="false"/>
                <w:i w:val="false"/>
                <w:iCs w:val="false"/>
                <w:color w:val="000000"/>
                <w:sz w:val="18"/>
                <w:szCs w:val="18"/>
              </w:rPr>
              <w:t xml:space="preserve">A field omitted from the POST keeps its stored value.</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Suggest rates (button)</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Action</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Fills every inflation field from a suggestion the server computed from the model's own closed periods. A starting point only — every year can be overridden.</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How many (levies)</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Number (page control)</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An integer.</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Clamped to 0–10. Reloads as /inputs/2?taxes=N.</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Number of levies saved</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Levy name</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Text</w:t>
            </w:r>
          </w:p>
        </w:tc>
        <w:tc>
          <w:tcPr>
            <w:tcW w:type="dxa" w:w="620"/>
            <w:shd w:fill="FFFFFF" w:val="clear"/>
            <w:tcMar>
              <w:top w:type="dxa" w:w="70"/>
              <w:left w:type="dxa" w:w="110"/>
              <w:bottom w:type="dxa" w:w="70"/>
              <w:right w:type="dxa" w:w="110"/>
            </w:tcMar>
          </w:tcPr>
          <w:p>
            <w:pPr>
              <w:spacing w:after="0"/>
            </w:pPr>
            <w:r>
              <w:rPr>
                <w:b/>
                <w:bCs/>
                <w:i w:val="false"/>
                <w:iCs w:val="false"/>
                <w:color w:val="000000"/>
                <w:sz w:val="18"/>
                <w:szCs w:val="18"/>
              </w:rPr>
              <w:t xml:space="preserve">Yes, per row</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e.g. Zakat, Corporate income tax.</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row with a blank name is dropped from the save. No length check in the form; column holds 120.</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Empty</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Levy — charged on</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"Zakat base (ZATCA)" or "Net profit before the levy".</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Anything other than zakat_base becomes profit.</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profit</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Levy rate</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Percentage</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Whole percentage, e.g. 2.5.</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Typed as a whole percentage (92.5 → 0.925). Same tolerant parser; unreadable becomes 0. No min/max — negatives and values over 100 are accepted.</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Remaining life — existing assets</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Number (years)</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Years.</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Unparseable or 0 falls back to 10.</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10</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Useful life — unclassified capex</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Number (years)</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Years.</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Unparseable or 0 falls back to 15.</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15</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First-year convention</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Number (factor)</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0.5 = half-year convention; 1 = full year.</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Parsed as a plain number, no clamp. 0 means new assets take no charge in their first year.</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0.5</w:t>
            </w:r>
          </w:p>
        </w:tc>
      </w:tr>
    </w:tbl>
    <w:p>
      <w:pPr>
        <w:spacing w:after="80"/>
      </w:pPr>
    </w:p>
    <w:p>
      <w:pPr>
        <w:pStyle w:val="Heading3"/>
        <w:spacing w:after="100" w:before="220"/>
      </w:pPr>
      <w:r>
        <w:t xml:space="preserve">Dependencies and cross-effects</w:t>
      </w:r>
    </w:p>
    <w:p>
      <w:pPr>
        <w:pStyle w:val="ListParagraph"/>
        <w:numPr>
          <w:ilvl w:val="0"/>
          <w:numId w:val="3"/>
        </w:numPr>
        <w:spacing w:after="60"/>
      </w:pPr>
      <w:r>
        <w:rPr>
          <w:sz w:val="20"/>
          <w:szCs w:val="20"/>
        </w:rPr>
        <w:t xml:space="preserve">Inflation shares a database row with the working-capital assumptions (step 3) and maintenance capex (step 9). This step merges rather than overwrites, so saving here does not wipe those.</w:t>
      </w:r>
    </w:p>
    <w:p>
      <w:pPr>
        <w:pStyle w:val="ListParagraph"/>
        <w:numPr>
          <w:ilvl w:val="0"/>
          <w:numId w:val="3"/>
        </w:numPr>
        <w:spacing w:after="60"/>
      </w:pPr>
      <w:r>
        <w:rPr>
          <w:sz w:val="20"/>
          <w:szCs w:val="20"/>
        </w:rPr>
        <w:t xml:space="preserve">Inflation escalates FIXED operating costs only (step 6). Variable costs already move with revenue, so inflating them too would double-count.</w:t>
      </w:r>
    </w:p>
    <w:p>
      <w:pPr>
        <w:pStyle w:val="ListParagraph"/>
        <w:numPr>
          <w:ilvl w:val="0"/>
          <w:numId w:val="3"/>
        </w:numPr>
        <w:spacing w:after="60"/>
      </w:pPr>
      <w:r>
        <w:rPr>
          <w:sz w:val="20"/>
          <w:szCs w:val="20"/>
        </w:rPr>
        <w:t xml:space="preserve">If NO levy rows are saved, the engine falls back to a single "Zakat" levy using the rate and method stored on the model itself. So removing all levies does not remove zakat.</w:t>
      </w:r>
    </w:p>
    <w:p>
      <w:pPr>
        <w:pStyle w:val="ListParagraph"/>
        <w:numPr>
          <w:ilvl w:val="0"/>
          <w:numId w:val="3"/>
        </w:numPr>
        <w:spacing w:after="60"/>
      </w:pPr>
      <w:r>
        <w:rPr>
          <w:sz w:val="20"/>
          <w:szCs w:val="20"/>
        </w:rPr>
        <w:t xml:space="preserve">Days in period drives receivables, inventory, payables and accruals on the balance sheet — but the RATIOS screen always divides by 365 regardless. See U4.</w:t>
      </w:r>
    </w:p>
    <w:p>
      <w:pPr>
        <w:pStyle w:val="ListParagraph"/>
        <w:numPr>
          <w:ilvl w:val="0"/>
          <w:numId w:val="3"/>
        </w:numPr>
        <w:spacing w:after="60"/>
      </w:pPr>
      <w:r>
        <w:rPr>
          <w:sz w:val="20"/>
          <w:szCs w:val="20"/>
        </w:rPr>
        <w:t xml:space="preserve">Depreciation defaults apply only to capex that has no entry in the step-9 asset register.</w:t>
      </w:r>
    </w:p>
    <w:p>
      <w:pPr>
        <w:spacing w:after="120"/>
      </w:pPr>
    </w:p>
    <w:p>
      <w:pPr>
        <w:pStyle w:val="Heading2"/>
        <w:spacing w:after="120" w:before="280"/>
      </w:pPr>
      <w:r>
        <w:t xml:space="preserve">2.8  Input step 3 — Working capital  —  /inputs/3</w:t>
      </w:r>
    </w:p>
    <w:p>
      <w:pPr>
        <w:spacing w:after="120"/>
      </w:pPr>
      <w:r>
        <w:rPr>
          <w:b w:val="false"/>
          <w:bCs w:val="false"/>
          <w:i w:val="false"/>
          <w:iCs w:val="false"/>
          <w:sz w:val="20"/>
          <w:szCs w:val="20"/>
        </w:rPr>
        <w:t xml:space="preserve">Purpose: how quickly the company collects from customers, holds stock and pays suppliers. These day counts drive four balance-sheet lines, and every movement in them flows through the cash flow statement.</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850"/>
        <w:gridCol w:w="1000"/>
        <w:gridCol w:w="620"/>
        <w:gridCol w:w="2100"/>
        <w:gridCol w:w="2440"/>
        <w:gridCol w:w="1350"/>
      </w:tblGrid>
      <w:tr>
        <w:trPr>
          <w:tblHeader/>
        </w:trPr>
        <w:tc>
          <w:tcPr>
            <w:tcW w:type="dxa" w:w="1850"/>
            <w:shd w:fill="1F3864" w:val="clear"/>
            <w:tcMar>
              <w:top w:type="dxa" w:w="70"/>
              <w:left w:type="dxa" w:w="110"/>
              <w:bottom w:type="dxa" w:w="70"/>
              <w:right w:type="dxa" w:w="110"/>
            </w:tcMar>
          </w:tcPr>
          <w:p>
            <w:pPr>
              <w:spacing w:after="0"/>
            </w:pPr>
            <w:r>
              <w:rPr>
                <w:b/>
                <w:bCs/>
                <w:i w:val="false"/>
                <w:iCs w:val="false"/>
                <w:color w:val="FFFFFF"/>
                <w:sz w:val="18"/>
                <w:szCs w:val="18"/>
              </w:rPr>
              <w:t xml:space="preserve">Field</w:t>
            </w:r>
          </w:p>
        </w:tc>
        <w:tc>
          <w:tcPr>
            <w:tcW w:type="dxa" w:w="1000"/>
            <w:shd w:fill="1F3864" w:val="clear"/>
            <w:tcMar>
              <w:top w:type="dxa" w:w="70"/>
              <w:left w:type="dxa" w:w="110"/>
              <w:bottom w:type="dxa" w:w="70"/>
              <w:right w:type="dxa" w:w="110"/>
            </w:tcMar>
          </w:tcPr>
          <w:p>
            <w:pPr>
              <w:spacing w:after="0"/>
            </w:pPr>
            <w:r>
              <w:rPr>
                <w:b/>
                <w:bCs/>
                <w:i w:val="false"/>
                <w:iCs w:val="false"/>
                <w:color w:val="FFFFFF"/>
                <w:sz w:val="18"/>
                <w:szCs w:val="18"/>
              </w:rPr>
              <w:t xml:space="preserve">Type</w:t>
            </w:r>
          </w:p>
        </w:tc>
        <w:tc>
          <w:tcPr>
            <w:tcW w:type="dxa" w:w="620"/>
            <w:shd w:fill="1F3864" w:val="clear"/>
            <w:tcMar>
              <w:top w:type="dxa" w:w="70"/>
              <w:left w:type="dxa" w:w="110"/>
              <w:bottom w:type="dxa" w:w="70"/>
              <w:right w:type="dxa" w:w="110"/>
            </w:tcMar>
          </w:tcPr>
          <w:p>
            <w:pPr>
              <w:spacing w:after="0"/>
            </w:pPr>
            <w:r>
              <w:rPr>
                <w:b/>
                <w:bCs/>
                <w:i w:val="false"/>
                <w:iCs w:val="false"/>
                <w:color w:val="FFFFFF"/>
                <w:sz w:val="18"/>
                <w:szCs w:val="18"/>
              </w:rPr>
              <w:t xml:space="preserve">Req.</w:t>
            </w:r>
          </w:p>
        </w:tc>
        <w:tc>
          <w:tcPr>
            <w:tcW w:type="dxa" w:w="2100"/>
            <w:shd w:fill="1F3864" w:val="clear"/>
            <w:tcMar>
              <w:top w:type="dxa" w:w="70"/>
              <w:left w:type="dxa" w:w="110"/>
              <w:bottom w:type="dxa" w:w="70"/>
              <w:right w:type="dxa" w:w="110"/>
            </w:tcMar>
          </w:tcPr>
          <w:p>
            <w:pPr>
              <w:spacing w:after="0"/>
            </w:pPr>
            <w:r>
              <w:rPr>
                <w:b/>
                <w:bCs/>
                <w:i w:val="false"/>
                <w:iCs w:val="false"/>
                <w:color w:val="FFFFFF"/>
                <w:sz w:val="18"/>
                <w:szCs w:val="18"/>
              </w:rPr>
              <w:t xml:space="preserve">Accepted values / format</w:t>
            </w:r>
          </w:p>
        </w:tc>
        <w:tc>
          <w:tcPr>
            <w:tcW w:type="dxa" w:w="2440"/>
            <w:shd w:fill="1F3864" w:val="clear"/>
            <w:tcMar>
              <w:top w:type="dxa" w:w="70"/>
              <w:left w:type="dxa" w:w="110"/>
              <w:bottom w:type="dxa" w:w="70"/>
              <w:right w:type="dxa" w:w="110"/>
            </w:tcMar>
          </w:tcPr>
          <w:p>
            <w:pPr>
              <w:spacing w:after="0"/>
            </w:pPr>
            <w:r>
              <w:rPr>
                <w:b/>
                <w:bCs/>
                <w:i w:val="false"/>
                <w:iCs w:val="false"/>
                <w:color w:val="FFFFFF"/>
                <w:sz w:val="18"/>
                <w:szCs w:val="18"/>
              </w:rPr>
              <w:t xml:space="preserve">Validation &amp; limits</w:t>
            </w:r>
          </w:p>
        </w:tc>
        <w:tc>
          <w:tcPr>
            <w:tcW w:type="dxa" w:w="1350"/>
            <w:shd w:fill="1F3864" w:val="clear"/>
            <w:tcMar>
              <w:top w:type="dxa" w:w="70"/>
              <w:left w:type="dxa" w:w="110"/>
              <w:bottom w:type="dxa" w:w="70"/>
              <w:right w:type="dxa" w:w="110"/>
            </w:tcMar>
          </w:tcPr>
          <w:p>
            <w:pPr>
              <w:spacing w:after="0"/>
            </w:pPr>
            <w:r>
              <w:rPr>
                <w:b/>
                <w:bCs/>
                <w:i w:val="false"/>
                <w:iCs w:val="false"/>
                <w:color w:val="FFFFFF"/>
                <w:sz w:val="18"/>
                <w:szCs w:val="18"/>
              </w:rPr>
              <w:t xml:space="preserve">Default</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Receivable days (of revenue)</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Number, one per forecast year</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day count, e.g. 30.</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Tolerant number parser: commas, spaces and underscores stripped; (400) = −400; unreadable text becomes 0. No min/max.</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Inventory days (of cost of sales)</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Number, one per forecast year</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 day count.</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Tolerant number parser: commas, spaces and underscores stripped; (400) = −400; unreadable text becomes 0. No min/max.</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Payable days (of cost of sales)</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Number, one per forecast year</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day count.</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Tolerant number parser: commas, spaces and underscores stripped; (400) = −400; unreadable text becomes 0. No min/max.</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Accrual days (of operating expense)</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Number, one per forecast year</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 day count.</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Tolerant number parser: commas, spaces and underscores stripped; (400) = −400; unreadable text becomes 0. No min/max.</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Other current assets</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Amount, one per forecast year</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An absolute balance, not a day count.</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Tolerant number parser: commas, spaces and underscores stripped; (400) = −400; unreadable text becomes 0. No min/max.</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Other current liabilities</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Amount, one per forecast year</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An absolute balance, not a day count.</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Tolerant number parser: commas, spaces and underscores stripped; (400) = −400; unreadable text becomes 0. No min/max.</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bl>
    <w:p>
      <w:pPr>
        <w:spacing w:after="80"/>
      </w:pPr>
    </w:p>
    <w:p>
      <w:pPr>
        <w:pStyle w:val="ListParagraph"/>
        <w:numPr>
          <w:ilvl w:val="0"/>
          <w:numId w:val="3"/>
        </w:numPr>
        <w:spacing w:after="60"/>
      </w:pPr>
      <w:r>
        <w:rPr>
          <w:sz w:val="20"/>
          <w:szCs w:val="20"/>
        </w:rPr>
        <w:t xml:space="preserve">Unlike inflation and capex, these six fields are read straight from the form: a field present but empty becomes 0, which will change the balance sheet.</w:t>
      </w:r>
    </w:p>
    <w:p>
      <w:pPr>
        <w:pStyle w:val="ListParagraph"/>
        <w:numPr>
          <w:ilvl w:val="0"/>
          <w:numId w:val="3"/>
        </w:numPr>
        <w:spacing w:after="60"/>
      </w:pPr>
      <w:r>
        <w:rPr>
          <w:sz w:val="20"/>
          <w:szCs w:val="20"/>
        </w:rPr>
        <w:t xml:space="preserve">Other current assets/liabilities are entered as the CLOSING BALANCE for that year, not a movement. Leaving them at 0 means the balance drops to zero in the forecast even if the opening sheet carried a balance — that is a real and easy-to-miss modelling effect.</w:t>
      </w:r>
    </w:p>
    <w:p>
      <w:pPr>
        <w:pStyle w:val="ListParagraph"/>
        <w:numPr>
          <w:ilvl w:val="0"/>
          <w:numId w:val="3"/>
        </w:numPr>
        <w:spacing w:after="60"/>
      </w:pPr>
      <w:r>
        <w:rPr>
          <w:sz w:val="20"/>
          <w:szCs w:val="20"/>
        </w:rPr>
        <w:t xml:space="preserve">Inflation and maintenance capex on the same database row are preserved.</w:t>
      </w:r>
    </w:p>
    <w:p>
      <w:pPr>
        <w:spacing w:after="120"/>
      </w:pPr>
    </w:p>
    <w:p>
      <w:pPr>
        <w:pStyle w:val="Heading2"/>
        <w:spacing w:after="120" w:before="280"/>
      </w:pPr>
      <w:r>
        <w:t xml:space="preserve">2.9  Input step 4 — Historical data  —  /inputs/4</w:t>
      </w:r>
    </w:p>
    <w:p>
      <w:pPr>
        <w:spacing w:after="120"/>
      </w:pPr>
      <w:r>
        <w:rPr>
          <w:b w:val="false"/>
          <w:bCs w:val="false"/>
          <w:i w:val="false"/>
          <w:iCs w:val="false"/>
          <w:sz w:val="20"/>
          <w:szCs w:val="20"/>
        </w:rPr>
        <w:t xml:space="preserve">Purpose: the closed-book results the forecast grows from. One table per business unit; one row per line; one column per closed year.</w:t>
      </w:r>
    </w:p>
    <w:p>
      <w:pPr>
        <w:spacing w:after="120"/>
      </w:pPr>
      <w:r>
        <w:rPr>
          <w:b w:val="false"/>
          <w:bCs w:val="false"/>
          <w:i w:val="false"/>
          <w:iCs w:val="false"/>
          <w:sz w:val="20"/>
          <w:szCs w:val="20"/>
        </w:rPr>
        <w:t xml:space="preserve">The six lines are: Revenue, Cost of sales, Selling &amp; distribution, General &amp; administrative, Depreciation, Capital expenditure.</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850"/>
        <w:gridCol w:w="1000"/>
        <w:gridCol w:w="620"/>
        <w:gridCol w:w="2100"/>
        <w:gridCol w:w="2440"/>
        <w:gridCol w:w="1350"/>
      </w:tblGrid>
      <w:tr>
        <w:trPr>
          <w:tblHeader/>
        </w:trPr>
        <w:tc>
          <w:tcPr>
            <w:tcW w:type="dxa" w:w="1850"/>
            <w:shd w:fill="1F3864" w:val="clear"/>
            <w:tcMar>
              <w:top w:type="dxa" w:w="70"/>
              <w:left w:type="dxa" w:w="110"/>
              <w:bottom w:type="dxa" w:w="70"/>
              <w:right w:type="dxa" w:w="110"/>
            </w:tcMar>
          </w:tcPr>
          <w:p>
            <w:pPr>
              <w:spacing w:after="0"/>
            </w:pPr>
            <w:r>
              <w:rPr>
                <w:b/>
                <w:bCs/>
                <w:i w:val="false"/>
                <w:iCs w:val="false"/>
                <w:color w:val="FFFFFF"/>
                <w:sz w:val="18"/>
                <w:szCs w:val="18"/>
              </w:rPr>
              <w:t xml:space="preserve">Field</w:t>
            </w:r>
          </w:p>
        </w:tc>
        <w:tc>
          <w:tcPr>
            <w:tcW w:type="dxa" w:w="1000"/>
            <w:shd w:fill="1F3864" w:val="clear"/>
            <w:tcMar>
              <w:top w:type="dxa" w:w="70"/>
              <w:left w:type="dxa" w:w="110"/>
              <w:bottom w:type="dxa" w:w="70"/>
              <w:right w:type="dxa" w:w="110"/>
            </w:tcMar>
          </w:tcPr>
          <w:p>
            <w:pPr>
              <w:spacing w:after="0"/>
            </w:pPr>
            <w:r>
              <w:rPr>
                <w:b/>
                <w:bCs/>
                <w:i w:val="false"/>
                <w:iCs w:val="false"/>
                <w:color w:val="FFFFFF"/>
                <w:sz w:val="18"/>
                <w:szCs w:val="18"/>
              </w:rPr>
              <w:t xml:space="preserve">Type</w:t>
            </w:r>
          </w:p>
        </w:tc>
        <w:tc>
          <w:tcPr>
            <w:tcW w:type="dxa" w:w="620"/>
            <w:shd w:fill="1F3864" w:val="clear"/>
            <w:tcMar>
              <w:top w:type="dxa" w:w="70"/>
              <w:left w:type="dxa" w:w="110"/>
              <w:bottom w:type="dxa" w:w="70"/>
              <w:right w:type="dxa" w:w="110"/>
            </w:tcMar>
          </w:tcPr>
          <w:p>
            <w:pPr>
              <w:spacing w:after="0"/>
            </w:pPr>
            <w:r>
              <w:rPr>
                <w:b/>
                <w:bCs/>
                <w:i w:val="false"/>
                <w:iCs w:val="false"/>
                <w:color w:val="FFFFFF"/>
                <w:sz w:val="18"/>
                <w:szCs w:val="18"/>
              </w:rPr>
              <w:t xml:space="preserve">Req.</w:t>
            </w:r>
          </w:p>
        </w:tc>
        <w:tc>
          <w:tcPr>
            <w:tcW w:type="dxa" w:w="2100"/>
            <w:shd w:fill="1F3864" w:val="clear"/>
            <w:tcMar>
              <w:top w:type="dxa" w:w="70"/>
              <w:left w:type="dxa" w:w="110"/>
              <w:bottom w:type="dxa" w:w="70"/>
              <w:right w:type="dxa" w:w="110"/>
            </w:tcMar>
          </w:tcPr>
          <w:p>
            <w:pPr>
              <w:spacing w:after="0"/>
            </w:pPr>
            <w:r>
              <w:rPr>
                <w:b/>
                <w:bCs/>
                <w:i w:val="false"/>
                <w:iCs w:val="false"/>
                <w:color w:val="FFFFFF"/>
                <w:sz w:val="18"/>
                <w:szCs w:val="18"/>
              </w:rPr>
              <w:t xml:space="preserve">Accepted values / format</w:t>
            </w:r>
          </w:p>
        </w:tc>
        <w:tc>
          <w:tcPr>
            <w:tcW w:type="dxa" w:w="2440"/>
            <w:shd w:fill="1F3864" w:val="clear"/>
            <w:tcMar>
              <w:top w:type="dxa" w:w="70"/>
              <w:left w:type="dxa" w:w="110"/>
              <w:bottom w:type="dxa" w:w="70"/>
              <w:right w:type="dxa" w:w="110"/>
            </w:tcMar>
          </w:tcPr>
          <w:p>
            <w:pPr>
              <w:spacing w:after="0"/>
            </w:pPr>
            <w:r>
              <w:rPr>
                <w:b/>
                <w:bCs/>
                <w:i w:val="false"/>
                <w:iCs w:val="false"/>
                <w:color w:val="FFFFFF"/>
                <w:sz w:val="18"/>
                <w:szCs w:val="18"/>
              </w:rPr>
              <w:t xml:space="preserve">Validation &amp; limits</w:t>
            </w:r>
          </w:p>
        </w:tc>
        <w:tc>
          <w:tcPr>
            <w:tcW w:type="dxa" w:w="1350"/>
            <w:shd w:fill="1F3864" w:val="clear"/>
            <w:tcMar>
              <w:top w:type="dxa" w:w="70"/>
              <w:left w:type="dxa" w:w="110"/>
              <w:bottom w:type="dxa" w:w="70"/>
              <w:right w:type="dxa" w:w="110"/>
            </w:tcMar>
          </w:tcPr>
          <w:p>
            <w:pPr>
              <w:spacing w:after="0"/>
            </w:pPr>
            <w:r>
              <w:rPr>
                <w:b/>
                <w:bCs/>
                <w:i w:val="false"/>
                <w:iCs w:val="false"/>
                <w:color w:val="FFFFFF"/>
                <w:sz w:val="18"/>
                <w:szCs w:val="18"/>
              </w:rPr>
              <w:t xml:space="preserve">Default</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Each cell (unit × line × year)</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Amount</w:t>
            </w:r>
          </w:p>
        </w:tc>
        <w:tc>
          <w:tcPr>
            <w:tcW w:type="dxa" w:w="620"/>
            <w:shd w:fill="FFFFFF" w:val="clear"/>
            <w:tcMar>
              <w:top w:type="dxa" w:w="70"/>
              <w:left w:type="dxa" w:w="110"/>
              <w:bottom w:type="dxa" w:w="70"/>
              <w:right w:type="dxa" w:w="110"/>
            </w:tcMar>
          </w:tcPr>
          <w:p>
            <w:pPr>
              <w:spacing w:after="0"/>
            </w:pPr>
            <w:r>
              <w:rPr>
                <w:b/>
                <w:bCs/>
                <w:i w:val="false"/>
                <w:iCs w:val="false"/>
                <w:color w:val="000000"/>
                <w:sz w:val="18"/>
                <w:szCs w:val="18"/>
              </w:rPr>
              <w:t xml:space="preserve">Effectively yes</w:t>
            </w:r>
          </w:p>
        </w:tc>
        <w:tc>
          <w:tcPr>
            <w:tcW w:type="dxa" w:w="2100"/>
            <w:shd w:fill="FFFFFF" w:val="clear"/>
            <w:tcMar>
              <w:top w:type="dxa" w:w="70"/>
              <w:left w:type="dxa" w:w="110"/>
              <w:bottom w:type="dxa" w:w="70"/>
              <w:right w:type="dxa" w:w="110"/>
            </w:tcMar>
          </w:tcPr>
          <w:p>
            <w:pPr>
              <w:spacing w:after="40"/>
            </w:pPr>
            <w:r>
              <w:rPr>
                <w:b w:val="false"/>
                <w:bCs w:val="false"/>
                <w:i w:val="false"/>
                <w:iCs w:val="false"/>
                <w:color w:val="000000"/>
                <w:sz w:val="18"/>
                <w:szCs w:val="18"/>
              </w:rPr>
              <w:t xml:space="preserve">Positive magnitudes for costs — the model applies the signs.</w:t>
            </w:r>
          </w:p>
          <w:p>
            <w:pPr>
              <w:spacing w:after="0"/>
            </w:pPr>
            <w:r>
              <w:rPr>
                <w:b w:val="false"/>
                <w:bCs w:val="false"/>
                <w:i w:val="false"/>
                <w:iCs w:val="false"/>
                <w:color w:val="000000"/>
                <w:sz w:val="18"/>
                <w:szCs w:val="18"/>
              </w:rPr>
              <w:t xml:space="preserve">Grouped with thousands separators as you type.</w:t>
            </w:r>
          </w:p>
        </w:tc>
        <w:tc>
          <w:tcPr>
            <w:tcW w:type="dxa" w:w="2440"/>
            <w:shd w:fill="FFFFFF" w:val="clear"/>
            <w:tcMar>
              <w:top w:type="dxa" w:w="70"/>
              <w:left w:type="dxa" w:w="110"/>
              <w:bottom w:type="dxa" w:w="70"/>
              <w:right w:type="dxa" w:w="110"/>
            </w:tcMar>
          </w:tcPr>
          <w:p>
            <w:pPr>
              <w:spacing w:after="40"/>
            </w:pPr>
            <w:r>
              <w:rPr>
                <w:b w:val="false"/>
                <w:bCs w:val="false"/>
                <w:i w:val="false"/>
                <w:iCs w:val="false"/>
                <w:color w:val="000000"/>
                <w:sz w:val="18"/>
                <w:szCs w:val="18"/>
              </w:rPr>
              <w:t xml:space="preserve">Tolerant number parser: commas, spaces and underscores stripped; (400) = −400; unreadable text becomes 0. No min/max.</w:t>
            </w:r>
          </w:p>
          <w:p>
            <w:pPr>
              <w:spacing w:after="0"/>
            </w:pPr>
            <w:r>
              <w:rPr>
                <w:b w:val="false"/>
                <w:bCs w:val="false"/>
                <w:i w:val="false"/>
                <w:iCs w:val="false"/>
                <w:color w:val="000000"/>
                <w:sz w:val="18"/>
                <w:szCs w:val="18"/>
              </w:rPr>
              <w:t xml:space="preserve">A cell absent or empty in the POST is SKIPPED, not zeroed — the stored value survives.</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Stored value, or 0</w:t>
            </w:r>
          </w:p>
        </w:tc>
      </w:tr>
    </w:tbl>
    <w:p>
      <w:pPr>
        <w:spacing w:after="80"/>
      </w:pPr>
    </w:p>
    <w:p>
      <w:pPr>
        <w:pStyle w:val="Heading3"/>
        <w:spacing w:after="100" w:before="220"/>
      </w:pPr>
      <w:r>
        <w:t xml:space="preserve">Rules</w:t>
      </w:r>
    </w:p>
    <w:p>
      <w:pPr>
        <w:pStyle w:val="ListParagraph"/>
        <w:numPr>
          <w:ilvl w:val="0"/>
          <w:numId w:val="3"/>
        </w:numPr>
        <w:spacing w:after="60"/>
      </w:pPr>
      <w:r>
        <w:rPr>
          <w:sz w:val="20"/>
          <w:szCs w:val="20"/>
        </w:rPr>
        <w:t xml:space="preserve">Values are stored against the REAL CALENDAR YEAR, not a position. Changing the start year re-aligns the columns rather than silently relabelling data.</w:t>
      </w:r>
    </w:p>
    <w:p>
      <w:pPr>
        <w:pStyle w:val="ListParagraph"/>
        <w:numPr>
          <w:ilvl w:val="0"/>
          <w:numId w:val="3"/>
        </w:numPr>
        <w:spacing w:after="60"/>
      </w:pPr>
      <w:r>
        <w:rPr>
          <w:sz w:val="20"/>
          <w:szCs w:val="20"/>
        </w:rPr>
        <w:t xml:space="preserve">A yellow banner lists any closed year with no data: "No data for 2023 (A) …". Those years are treated as zero, which drags down the base the forecast grows from.</w:t>
      </w:r>
    </w:p>
    <w:p>
      <w:pPr>
        <w:pStyle w:val="ListParagraph"/>
        <w:numPr>
          <w:ilvl w:val="0"/>
          <w:numId w:val="3"/>
        </w:numPr>
        <w:spacing w:after="60"/>
      </w:pPr>
      <w:r>
        <w:rPr>
          <w:sz w:val="20"/>
          <w:szCs w:val="20"/>
        </w:rPr>
        <w:t xml:space="preserve">A year counts as "has data" only if at least one value for it is non-zero.</w:t>
      </w:r>
    </w:p>
    <w:p>
      <w:pPr>
        <w:pStyle w:val="ListParagraph"/>
        <w:numPr>
          <w:ilvl w:val="0"/>
          <w:numId w:val="3"/>
        </w:numPr>
        <w:spacing w:after="60"/>
      </w:pPr>
      <w:r>
        <w:rPr>
          <w:sz w:val="20"/>
          <w:szCs w:val="20"/>
        </w:rPr>
        <w:t xml:space="preserve">The last actual year's revenue is the base for organic growth AND the basis for the business-unit allocation share used throughout the segment views. It is the single most consequential number on this screen.</w:t>
      </w:r>
    </w:p>
    <w:p>
      <w:pPr>
        <w:pStyle w:val="ListParagraph"/>
        <w:numPr>
          <w:ilvl w:val="0"/>
          <w:numId w:val="3"/>
        </w:numPr>
        <w:spacing w:after="60"/>
      </w:pPr>
      <w:r>
        <w:rPr>
          <w:sz w:val="20"/>
          <w:szCs w:val="20"/>
        </w:rPr>
        <w:t xml:space="preserve">Depreciation and capex actuals are used only on the Actual analysis screen; they do not feed the forecast.</w:t>
      </w:r>
    </w:p>
    <w:p>
      <w:pPr>
        <w:spacing w:after="120"/>
      </w:pPr>
    </w:p>
    <w:p>
      <w:pPr>
        <w:pStyle w:val="Heading2"/>
        <w:spacing w:after="120" w:before="280"/>
      </w:pPr>
      <w:r>
        <w:t xml:space="preserve">2.10  Input step 5 — Growth drivers  —  /inputs/5</w:t>
      </w:r>
    </w:p>
    <w:p>
      <w:pPr>
        <w:spacing w:after="120"/>
      </w:pPr>
      <w:r>
        <w:rPr>
          <w:b w:val="false"/>
          <w:bCs w:val="false"/>
          <w:i w:val="false"/>
          <w:iCs w:val="false"/>
          <w:sz w:val="20"/>
          <w:szCs w:val="20"/>
        </w:rPr>
        <w:t xml:space="preserve">Purpose: the organic revenue growth rate, per unit, per scenario, per forecast year. All three scenarios are visible at once — there are no hidden tabs.</w:t>
      </w:r>
    </w:p>
    <w:p>
      <w:pPr>
        <w:spacing w:after="120"/>
      </w:pPr>
      <w:r>
        <w:rPr>
          <w:b w:val="false"/>
          <w:bCs w:val="false"/>
          <w:i w:val="false"/>
          <w:iCs w:val="false"/>
          <w:sz w:val="20"/>
          <w:szCs w:val="20"/>
        </w:rPr>
        <w:t xml:space="preserve">An information banner states that revenue mix is no longer entered here; it is derived and reported on the Revenue mix output screen.</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850"/>
        <w:gridCol w:w="1000"/>
        <w:gridCol w:w="620"/>
        <w:gridCol w:w="2100"/>
        <w:gridCol w:w="2440"/>
        <w:gridCol w:w="1350"/>
      </w:tblGrid>
      <w:tr>
        <w:trPr>
          <w:tblHeader/>
        </w:trPr>
        <w:tc>
          <w:tcPr>
            <w:tcW w:type="dxa" w:w="1850"/>
            <w:shd w:fill="1F3864" w:val="clear"/>
            <w:tcMar>
              <w:top w:type="dxa" w:w="70"/>
              <w:left w:type="dxa" w:w="110"/>
              <w:bottom w:type="dxa" w:w="70"/>
              <w:right w:type="dxa" w:w="110"/>
            </w:tcMar>
          </w:tcPr>
          <w:p>
            <w:pPr>
              <w:spacing w:after="0"/>
            </w:pPr>
            <w:r>
              <w:rPr>
                <w:b/>
                <w:bCs/>
                <w:i w:val="false"/>
                <w:iCs w:val="false"/>
                <w:color w:val="FFFFFF"/>
                <w:sz w:val="18"/>
                <w:szCs w:val="18"/>
              </w:rPr>
              <w:t xml:space="preserve">Field</w:t>
            </w:r>
          </w:p>
        </w:tc>
        <w:tc>
          <w:tcPr>
            <w:tcW w:type="dxa" w:w="1000"/>
            <w:shd w:fill="1F3864" w:val="clear"/>
            <w:tcMar>
              <w:top w:type="dxa" w:w="70"/>
              <w:left w:type="dxa" w:w="110"/>
              <w:bottom w:type="dxa" w:w="70"/>
              <w:right w:type="dxa" w:w="110"/>
            </w:tcMar>
          </w:tcPr>
          <w:p>
            <w:pPr>
              <w:spacing w:after="0"/>
            </w:pPr>
            <w:r>
              <w:rPr>
                <w:b/>
                <w:bCs/>
                <w:i w:val="false"/>
                <w:iCs w:val="false"/>
                <w:color w:val="FFFFFF"/>
                <w:sz w:val="18"/>
                <w:szCs w:val="18"/>
              </w:rPr>
              <w:t xml:space="preserve">Type</w:t>
            </w:r>
          </w:p>
        </w:tc>
        <w:tc>
          <w:tcPr>
            <w:tcW w:type="dxa" w:w="620"/>
            <w:shd w:fill="1F3864" w:val="clear"/>
            <w:tcMar>
              <w:top w:type="dxa" w:w="70"/>
              <w:left w:type="dxa" w:w="110"/>
              <w:bottom w:type="dxa" w:w="70"/>
              <w:right w:type="dxa" w:w="110"/>
            </w:tcMar>
          </w:tcPr>
          <w:p>
            <w:pPr>
              <w:spacing w:after="0"/>
            </w:pPr>
            <w:r>
              <w:rPr>
                <w:b/>
                <w:bCs/>
                <w:i w:val="false"/>
                <w:iCs w:val="false"/>
                <w:color w:val="FFFFFF"/>
                <w:sz w:val="18"/>
                <w:szCs w:val="18"/>
              </w:rPr>
              <w:t xml:space="preserve">Req.</w:t>
            </w:r>
          </w:p>
        </w:tc>
        <w:tc>
          <w:tcPr>
            <w:tcW w:type="dxa" w:w="2100"/>
            <w:shd w:fill="1F3864" w:val="clear"/>
            <w:tcMar>
              <w:top w:type="dxa" w:w="70"/>
              <w:left w:type="dxa" w:w="110"/>
              <w:bottom w:type="dxa" w:w="70"/>
              <w:right w:type="dxa" w:w="110"/>
            </w:tcMar>
          </w:tcPr>
          <w:p>
            <w:pPr>
              <w:spacing w:after="0"/>
            </w:pPr>
            <w:r>
              <w:rPr>
                <w:b/>
                <w:bCs/>
                <w:i w:val="false"/>
                <w:iCs w:val="false"/>
                <w:color w:val="FFFFFF"/>
                <w:sz w:val="18"/>
                <w:szCs w:val="18"/>
              </w:rPr>
              <w:t xml:space="preserve">Accepted values / format</w:t>
            </w:r>
          </w:p>
        </w:tc>
        <w:tc>
          <w:tcPr>
            <w:tcW w:type="dxa" w:w="2440"/>
            <w:shd w:fill="1F3864" w:val="clear"/>
            <w:tcMar>
              <w:top w:type="dxa" w:w="70"/>
              <w:left w:type="dxa" w:w="110"/>
              <w:bottom w:type="dxa" w:w="70"/>
              <w:right w:type="dxa" w:w="110"/>
            </w:tcMar>
          </w:tcPr>
          <w:p>
            <w:pPr>
              <w:spacing w:after="0"/>
            </w:pPr>
            <w:r>
              <w:rPr>
                <w:b/>
                <w:bCs/>
                <w:i w:val="false"/>
                <w:iCs w:val="false"/>
                <w:color w:val="FFFFFF"/>
                <w:sz w:val="18"/>
                <w:szCs w:val="18"/>
              </w:rPr>
              <w:t xml:space="preserve">Validation &amp; limits</w:t>
            </w:r>
          </w:p>
        </w:tc>
        <w:tc>
          <w:tcPr>
            <w:tcW w:type="dxa" w:w="1350"/>
            <w:shd w:fill="1F3864" w:val="clear"/>
            <w:tcMar>
              <w:top w:type="dxa" w:w="70"/>
              <w:left w:type="dxa" w:w="110"/>
              <w:bottom w:type="dxa" w:w="70"/>
              <w:right w:type="dxa" w:w="110"/>
            </w:tcMar>
          </w:tcPr>
          <w:p>
            <w:pPr>
              <w:spacing w:after="0"/>
            </w:pPr>
            <w:r>
              <w:rPr>
                <w:b/>
                <w:bCs/>
                <w:i w:val="false"/>
                <w:iCs w:val="false"/>
                <w:color w:val="FFFFFF"/>
                <w:sz w:val="18"/>
                <w:szCs w:val="18"/>
              </w:rPr>
              <w:t xml:space="preserve">Default</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Growth % (unit × scenario × year)</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Percentage</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Whole percentage, e.g. 5.6 for 5.6%. Negatives are accepted and mean decline.</w:t>
            </w:r>
          </w:p>
        </w:tc>
        <w:tc>
          <w:tcPr>
            <w:tcW w:type="dxa" w:w="2440"/>
            <w:shd w:fill="FFFFFF" w:val="clear"/>
            <w:tcMar>
              <w:top w:type="dxa" w:w="70"/>
              <w:left w:type="dxa" w:w="110"/>
              <w:bottom w:type="dxa" w:w="70"/>
              <w:right w:type="dxa" w:w="110"/>
            </w:tcMar>
          </w:tcPr>
          <w:p>
            <w:pPr>
              <w:spacing w:after="40"/>
            </w:pPr>
            <w:r>
              <w:rPr>
                <w:b w:val="false"/>
                <w:bCs w:val="false"/>
                <w:i w:val="false"/>
                <w:iCs w:val="false"/>
                <w:color w:val="000000"/>
                <w:sz w:val="18"/>
                <w:szCs w:val="18"/>
              </w:rPr>
              <w:t xml:space="preserve">Typed as a whole percentage (92.5 → 0.925). Same tolerant parser; unreadable becomes 0. No min/max — negatives and values over 100 are accepted.</w:t>
            </w:r>
          </w:p>
          <w:p>
            <w:pPr>
              <w:spacing w:after="0"/>
            </w:pPr>
            <w:r>
              <w:rPr>
                <w:b w:val="false"/>
                <w:bCs w:val="false"/>
                <w:i w:val="false"/>
                <w:iCs w:val="false"/>
                <w:color w:val="000000"/>
                <w:sz w:val="18"/>
                <w:szCs w:val="18"/>
              </w:rPr>
              <w:t xml:space="preserve">A field absent from the POST keeps its stored value.</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bl>
    <w:p>
      <w:pPr>
        <w:spacing w:after="80"/>
      </w:pPr>
    </w:p>
    <w:p>
      <w:pPr>
        <w:pStyle w:val="ListParagraph"/>
        <w:numPr>
          <w:ilvl w:val="0"/>
          <w:numId w:val="3"/>
        </w:numPr>
        <w:spacing w:after="60"/>
      </w:pPr>
      <w:r>
        <w:rPr>
          <w:sz w:val="20"/>
          <w:szCs w:val="20"/>
        </w:rPr>
        <w:t xml:space="preserve">The grid size is (number of units) × 3 scenarios × (forecast years). With 4 units and 5 years that is 60 fields.</w:t>
      </w:r>
    </w:p>
    <w:p>
      <w:pPr>
        <w:pStyle w:val="ListParagraph"/>
        <w:numPr>
          <w:ilvl w:val="0"/>
          <w:numId w:val="3"/>
        </w:numPr>
        <w:spacing w:after="60"/>
      </w:pPr>
      <w:r>
        <w:rPr>
          <w:sz w:val="20"/>
          <w:szCs w:val="20"/>
        </w:rPr>
        <w:t xml:space="preserve">Saving this step rewrites the whole driver set but preserves the cost columns (step 6) for every row.</w:t>
      </w:r>
    </w:p>
    <w:p>
      <w:pPr>
        <w:pStyle w:val="ListParagraph"/>
        <w:numPr>
          <w:ilvl w:val="0"/>
          <w:numId w:val="3"/>
        </w:numPr>
        <w:spacing w:after="60"/>
      </w:pPr>
      <w:r>
        <w:rPr>
          <w:sz w:val="20"/>
          <w:szCs w:val="20"/>
        </w:rPr>
        <w:t xml:space="preserve">Growth applies to ORGANIC revenue only. Initiative revenue (step 8) is added on top and is not grown by this rate.</w:t>
      </w:r>
    </w:p>
    <w:p>
      <w:pPr>
        <w:pStyle w:val="ListParagraph"/>
        <w:numPr>
          <w:ilvl w:val="0"/>
          <w:numId w:val="3"/>
        </w:numPr>
        <w:spacing w:after="60"/>
      </w:pPr>
      <w:r>
        <w:rPr>
          <w:sz w:val="20"/>
          <w:szCs w:val="20"/>
        </w:rPr>
        <w:t xml:space="preserve">Growth compounds off the previous forecast year, starting from the last actual year's revenue.</w:t>
      </w:r>
    </w:p>
    <w:p>
      <w:pPr>
        <w:spacing w:after="120"/>
      </w:pPr>
    </w:p>
    <w:p>
      <w:pPr>
        <w:pStyle w:val="Heading2"/>
        <w:spacing w:after="120" w:before="280"/>
      </w:pPr>
      <w:r>
        <w:t xml:space="preserve">2.11  Input step 6 — Cost drivers  —  /inputs/6</w:t>
      </w:r>
    </w:p>
    <w:p>
      <w:pPr>
        <w:spacing w:after="120"/>
      </w:pPr>
      <w:r>
        <w:rPr>
          <w:b w:val="false"/>
          <w:bCs w:val="false"/>
          <w:i w:val="false"/>
          <w:iCs w:val="false"/>
          <w:sz w:val="20"/>
          <w:szCs w:val="20"/>
        </w:rPr>
        <w:t xml:space="preserve">Purpose: the cost structure. Each cost is split into a variable percentage of revenue and a fixed annual amount that does not fall when revenue does. That split is what creates operating leverage — without it a downside case could never compress margins.</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850"/>
        <w:gridCol w:w="1000"/>
        <w:gridCol w:w="620"/>
        <w:gridCol w:w="2100"/>
        <w:gridCol w:w="2440"/>
        <w:gridCol w:w="1350"/>
      </w:tblGrid>
      <w:tr>
        <w:trPr>
          <w:tblHeader/>
        </w:trPr>
        <w:tc>
          <w:tcPr>
            <w:tcW w:type="dxa" w:w="1850"/>
            <w:shd w:fill="1F3864" w:val="clear"/>
            <w:tcMar>
              <w:top w:type="dxa" w:w="70"/>
              <w:left w:type="dxa" w:w="110"/>
              <w:bottom w:type="dxa" w:w="70"/>
              <w:right w:type="dxa" w:w="110"/>
            </w:tcMar>
          </w:tcPr>
          <w:p>
            <w:pPr>
              <w:spacing w:after="0"/>
            </w:pPr>
            <w:r>
              <w:rPr>
                <w:b/>
                <w:bCs/>
                <w:i w:val="false"/>
                <w:iCs w:val="false"/>
                <w:color w:val="FFFFFF"/>
                <w:sz w:val="18"/>
                <w:szCs w:val="18"/>
              </w:rPr>
              <w:t xml:space="preserve">Field</w:t>
            </w:r>
          </w:p>
        </w:tc>
        <w:tc>
          <w:tcPr>
            <w:tcW w:type="dxa" w:w="1000"/>
            <w:shd w:fill="1F3864" w:val="clear"/>
            <w:tcMar>
              <w:top w:type="dxa" w:w="70"/>
              <w:left w:type="dxa" w:w="110"/>
              <w:bottom w:type="dxa" w:w="70"/>
              <w:right w:type="dxa" w:w="110"/>
            </w:tcMar>
          </w:tcPr>
          <w:p>
            <w:pPr>
              <w:spacing w:after="0"/>
            </w:pPr>
            <w:r>
              <w:rPr>
                <w:b/>
                <w:bCs/>
                <w:i w:val="false"/>
                <w:iCs w:val="false"/>
                <w:color w:val="FFFFFF"/>
                <w:sz w:val="18"/>
                <w:szCs w:val="18"/>
              </w:rPr>
              <w:t xml:space="preserve">Type</w:t>
            </w:r>
          </w:p>
        </w:tc>
        <w:tc>
          <w:tcPr>
            <w:tcW w:type="dxa" w:w="620"/>
            <w:shd w:fill="1F3864" w:val="clear"/>
            <w:tcMar>
              <w:top w:type="dxa" w:w="70"/>
              <w:left w:type="dxa" w:w="110"/>
              <w:bottom w:type="dxa" w:w="70"/>
              <w:right w:type="dxa" w:w="110"/>
            </w:tcMar>
          </w:tcPr>
          <w:p>
            <w:pPr>
              <w:spacing w:after="0"/>
            </w:pPr>
            <w:r>
              <w:rPr>
                <w:b/>
                <w:bCs/>
                <w:i w:val="false"/>
                <w:iCs w:val="false"/>
                <w:color w:val="FFFFFF"/>
                <w:sz w:val="18"/>
                <w:szCs w:val="18"/>
              </w:rPr>
              <w:t xml:space="preserve">Req.</w:t>
            </w:r>
          </w:p>
        </w:tc>
        <w:tc>
          <w:tcPr>
            <w:tcW w:type="dxa" w:w="2100"/>
            <w:shd w:fill="1F3864" w:val="clear"/>
            <w:tcMar>
              <w:top w:type="dxa" w:w="70"/>
              <w:left w:type="dxa" w:w="110"/>
              <w:bottom w:type="dxa" w:w="70"/>
              <w:right w:type="dxa" w:w="110"/>
            </w:tcMar>
          </w:tcPr>
          <w:p>
            <w:pPr>
              <w:spacing w:after="0"/>
            </w:pPr>
            <w:r>
              <w:rPr>
                <w:b/>
                <w:bCs/>
                <w:i w:val="false"/>
                <w:iCs w:val="false"/>
                <w:color w:val="FFFFFF"/>
                <w:sz w:val="18"/>
                <w:szCs w:val="18"/>
              </w:rPr>
              <w:t xml:space="preserve">Accepted values / format</w:t>
            </w:r>
          </w:p>
        </w:tc>
        <w:tc>
          <w:tcPr>
            <w:tcW w:type="dxa" w:w="2440"/>
            <w:shd w:fill="1F3864" w:val="clear"/>
            <w:tcMar>
              <w:top w:type="dxa" w:w="70"/>
              <w:left w:type="dxa" w:w="110"/>
              <w:bottom w:type="dxa" w:w="70"/>
              <w:right w:type="dxa" w:w="110"/>
            </w:tcMar>
          </w:tcPr>
          <w:p>
            <w:pPr>
              <w:spacing w:after="0"/>
            </w:pPr>
            <w:r>
              <w:rPr>
                <w:b/>
                <w:bCs/>
                <w:i w:val="false"/>
                <w:iCs w:val="false"/>
                <w:color w:val="FFFFFF"/>
                <w:sz w:val="18"/>
                <w:szCs w:val="18"/>
              </w:rPr>
              <w:t xml:space="preserve">Validation &amp; limits</w:t>
            </w:r>
          </w:p>
        </w:tc>
        <w:tc>
          <w:tcPr>
            <w:tcW w:type="dxa" w:w="1350"/>
            <w:shd w:fill="1F3864" w:val="clear"/>
            <w:tcMar>
              <w:top w:type="dxa" w:w="70"/>
              <w:left w:type="dxa" w:w="110"/>
              <w:bottom w:type="dxa" w:w="70"/>
              <w:right w:type="dxa" w:w="110"/>
            </w:tcMar>
          </w:tcPr>
          <w:p>
            <w:pPr>
              <w:spacing w:after="0"/>
            </w:pPr>
            <w:r>
              <w:rPr>
                <w:b/>
                <w:bCs/>
                <w:i w:val="false"/>
                <w:iCs w:val="false"/>
                <w:color w:val="FFFFFF"/>
                <w:sz w:val="18"/>
                <w:szCs w:val="18"/>
              </w:rPr>
              <w:t xml:space="preserve">Default</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Cost of sales — % of revenue</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Percentage (unit × scenario × year)</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Whole percentage, e.g. 92.</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Typed as a whole percentage (92.5 → 0.925). Same tolerant parser; unreadable becomes 0. No min/max — negatives and values over 100 are accepted.</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Selling &amp; distribution — % of revenue</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Percentage (unit × scenario × year)</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Whole percentage.</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Typed as a whole percentage (92.5 → 0.925). Same tolerant parser; unreadable becomes 0. No min/max — negatives and values over 100 are accepted.</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General &amp; administrative — % of revenue</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Percentage (unit × scenario × year)</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Whole percentage.</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Typed as a whole percentage (92.5 → 0.925). Same tolerant parser; unreadable becomes 0. No min/max — negatives and values over 100 are accepted.</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Selling &amp; distribution — fixed cost</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Amount (unit × scenario × year)</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An annual amount in the model currency.</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Tolerant number parser: commas, spaces and underscores stripped; (400) = −400; unreadable text becomes 0. No min/max.</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General &amp; administrative — fixed cost</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Amount (unit × scenario × year)</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An annual amount.</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Tolerant number parser: commas, spaces and underscores stripped; (400) = −400; unreadable text becomes 0. No min/max.</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bl>
    <w:p>
      <w:pPr>
        <w:spacing w:after="80"/>
      </w:pPr>
    </w:p>
    <w:p>
      <w:pPr>
        <w:pStyle w:val="ListParagraph"/>
        <w:numPr>
          <w:ilvl w:val="0"/>
          <w:numId w:val="3"/>
        </w:numPr>
        <w:spacing w:after="60"/>
      </w:pPr>
      <w:r>
        <w:rPr>
          <w:sz w:val="20"/>
          <w:szCs w:val="20"/>
        </w:rPr>
        <w:t xml:space="preserve">The grid is (units) × 3 scenarios × 5 rows × (forecast years). With 4 units and 5 years that is 300 fields — the largest form in the system and the one most worth a performance check.</w:t>
      </w:r>
    </w:p>
    <w:p>
      <w:pPr>
        <w:pStyle w:val="ListParagraph"/>
        <w:numPr>
          <w:ilvl w:val="0"/>
          <w:numId w:val="3"/>
        </w:numPr>
        <w:spacing w:after="60"/>
      </w:pPr>
      <w:r>
        <w:rPr>
          <w:sz w:val="20"/>
          <w:szCs w:val="20"/>
        </w:rPr>
        <w:t xml:space="preserve">Variable percentages apply to ORGANIC revenue only, not to initiative revenue. Initiative cost of sales is entered directly on step 8.</w:t>
      </w:r>
    </w:p>
    <w:p>
      <w:pPr>
        <w:pStyle w:val="ListParagraph"/>
        <w:numPr>
          <w:ilvl w:val="0"/>
          <w:numId w:val="3"/>
        </w:numPr>
        <w:spacing w:after="60"/>
      </w:pPr>
      <w:r>
        <w:rPr>
          <w:sz w:val="20"/>
          <w:szCs w:val="20"/>
        </w:rPr>
        <w:t xml:space="preserve">Fixed costs are escalated by the inflation index from step 2. The on-screen note says "step 8" — that is a stale reference; inflation is on step 2.</w:t>
      </w:r>
    </w:p>
    <w:p>
      <w:pPr>
        <w:pStyle w:val="ListParagraph"/>
        <w:numPr>
          <w:ilvl w:val="0"/>
          <w:numId w:val="3"/>
        </w:numPr>
        <w:spacing w:after="60"/>
      </w:pPr>
      <w:r>
        <w:rPr>
          <w:sz w:val="20"/>
          <w:szCs w:val="20"/>
        </w:rPr>
        <w:t xml:space="preserve">Saving preserves the growth column (step 5) for every row.</w:t>
      </w:r>
    </w:p>
    <w:p>
      <w:pPr>
        <w:spacing w:after="120"/>
      </w:pPr>
    </w:p>
    <w:p>
      <w:pPr>
        <w:pStyle w:val="Heading2"/>
        <w:spacing w:after="120" w:before="280"/>
      </w:pPr>
      <w:r>
        <w:t xml:space="preserve">2.12  Input step 7 — Debt &amp; financing  —  /inputs/7</w:t>
      </w:r>
    </w:p>
    <w:p>
      <w:pPr>
        <w:spacing w:after="120"/>
      </w:pPr>
      <w:r>
        <w:rPr>
          <w:b w:val="false"/>
          <w:bCs w:val="false"/>
          <w:i w:val="false"/>
          <w:iCs w:val="false"/>
          <w:sz w:val="20"/>
          <w:szCs w:val="20"/>
        </w:rPr>
        <w:t xml:space="preserve">Purpose: every borrowing facility with its own repayment schedule, plus provisions and distributions, plus the automatic revolver and the dividend policy. Three panels on one page.</w:t>
      </w:r>
    </w:p>
    <w:p>
      <w:pPr>
        <w:pStyle w:val="Heading3"/>
        <w:spacing w:after="100" w:before="220"/>
      </w:pPr>
      <w:r>
        <w:t xml:space="preserve">Panel A — Facilities</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850"/>
        <w:gridCol w:w="1000"/>
        <w:gridCol w:w="620"/>
        <w:gridCol w:w="2100"/>
        <w:gridCol w:w="2440"/>
        <w:gridCol w:w="1350"/>
      </w:tblGrid>
      <w:tr>
        <w:trPr>
          <w:tblHeader/>
        </w:trPr>
        <w:tc>
          <w:tcPr>
            <w:tcW w:type="dxa" w:w="1850"/>
            <w:shd w:fill="1F3864" w:val="clear"/>
            <w:tcMar>
              <w:top w:type="dxa" w:w="70"/>
              <w:left w:type="dxa" w:w="110"/>
              <w:bottom w:type="dxa" w:w="70"/>
              <w:right w:type="dxa" w:w="110"/>
            </w:tcMar>
          </w:tcPr>
          <w:p>
            <w:pPr>
              <w:spacing w:after="0"/>
            </w:pPr>
            <w:r>
              <w:rPr>
                <w:b/>
                <w:bCs/>
                <w:i w:val="false"/>
                <w:iCs w:val="false"/>
                <w:color w:val="FFFFFF"/>
                <w:sz w:val="18"/>
                <w:szCs w:val="18"/>
              </w:rPr>
              <w:t xml:space="preserve">Field</w:t>
            </w:r>
          </w:p>
        </w:tc>
        <w:tc>
          <w:tcPr>
            <w:tcW w:type="dxa" w:w="1000"/>
            <w:shd w:fill="1F3864" w:val="clear"/>
            <w:tcMar>
              <w:top w:type="dxa" w:w="70"/>
              <w:left w:type="dxa" w:w="110"/>
              <w:bottom w:type="dxa" w:w="70"/>
              <w:right w:type="dxa" w:w="110"/>
            </w:tcMar>
          </w:tcPr>
          <w:p>
            <w:pPr>
              <w:spacing w:after="0"/>
            </w:pPr>
            <w:r>
              <w:rPr>
                <w:b/>
                <w:bCs/>
                <w:i w:val="false"/>
                <w:iCs w:val="false"/>
                <w:color w:val="FFFFFF"/>
                <w:sz w:val="18"/>
                <w:szCs w:val="18"/>
              </w:rPr>
              <w:t xml:space="preserve">Type</w:t>
            </w:r>
          </w:p>
        </w:tc>
        <w:tc>
          <w:tcPr>
            <w:tcW w:type="dxa" w:w="620"/>
            <w:shd w:fill="1F3864" w:val="clear"/>
            <w:tcMar>
              <w:top w:type="dxa" w:w="70"/>
              <w:left w:type="dxa" w:w="110"/>
              <w:bottom w:type="dxa" w:w="70"/>
              <w:right w:type="dxa" w:w="110"/>
            </w:tcMar>
          </w:tcPr>
          <w:p>
            <w:pPr>
              <w:spacing w:after="0"/>
            </w:pPr>
            <w:r>
              <w:rPr>
                <w:b/>
                <w:bCs/>
                <w:i w:val="false"/>
                <w:iCs w:val="false"/>
                <w:color w:val="FFFFFF"/>
                <w:sz w:val="18"/>
                <w:szCs w:val="18"/>
              </w:rPr>
              <w:t xml:space="preserve">Req.</w:t>
            </w:r>
          </w:p>
        </w:tc>
        <w:tc>
          <w:tcPr>
            <w:tcW w:type="dxa" w:w="2100"/>
            <w:shd w:fill="1F3864" w:val="clear"/>
            <w:tcMar>
              <w:top w:type="dxa" w:w="70"/>
              <w:left w:type="dxa" w:w="110"/>
              <w:bottom w:type="dxa" w:w="70"/>
              <w:right w:type="dxa" w:w="110"/>
            </w:tcMar>
          </w:tcPr>
          <w:p>
            <w:pPr>
              <w:spacing w:after="0"/>
            </w:pPr>
            <w:r>
              <w:rPr>
                <w:b/>
                <w:bCs/>
                <w:i w:val="false"/>
                <w:iCs w:val="false"/>
                <w:color w:val="FFFFFF"/>
                <w:sz w:val="18"/>
                <w:szCs w:val="18"/>
              </w:rPr>
              <w:t xml:space="preserve">Accepted values / format</w:t>
            </w:r>
          </w:p>
        </w:tc>
        <w:tc>
          <w:tcPr>
            <w:tcW w:type="dxa" w:w="2440"/>
            <w:shd w:fill="1F3864" w:val="clear"/>
            <w:tcMar>
              <w:top w:type="dxa" w:w="70"/>
              <w:left w:type="dxa" w:w="110"/>
              <w:bottom w:type="dxa" w:w="70"/>
              <w:right w:type="dxa" w:w="110"/>
            </w:tcMar>
          </w:tcPr>
          <w:p>
            <w:pPr>
              <w:spacing w:after="0"/>
            </w:pPr>
            <w:r>
              <w:rPr>
                <w:b/>
                <w:bCs/>
                <w:i w:val="false"/>
                <w:iCs w:val="false"/>
                <w:color w:val="FFFFFF"/>
                <w:sz w:val="18"/>
                <w:szCs w:val="18"/>
              </w:rPr>
              <w:t xml:space="preserve">Validation &amp; limits</w:t>
            </w:r>
          </w:p>
        </w:tc>
        <w:tc>
          <w:tcPr>
            <w:tcW w:type="dxa" w:w="1350"/>
            <w:shd w:fill="1F3864" w:val="clear"/>
            <w:tcMar>
              <w:top w:type="dxa" w:w="70"/>
              <w:left w:type="dxa" w:w="110"/>
              <w:bottom w:type="dxa" w:w="70"/>
              <w:right w:type="dxa" w:w="110"/>
            </w:tcMar>
          </w:tcPr>
          <w:p>
            <w:pPr>
              <w:spacing w:after="0"/>
            </w:pPr>
            <w:r>
              <w:rPr>
                <w:b/>
                <w:bCs/>
                <w:i w:val="false"/>
                <w:iCs w:val="false"/>
                <w:color w:val="FFFFFF"/>
                <w:sz w:val="18"/>
                <w:szCs w:val="18"/>
              </w:rPr>
              <w:t xml:space="preserve">Default</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Number of debts</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Number (page control)</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An integer.</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Clamped to 0–24. Reloads as /inputs/7?debts=N.</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Number saved</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Debt name</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Text</w:t>
            </w:r>
          </w:p>
        </w:tc>
        <w:tc>
          <w:tcPr>
            <w:tcW w:type="dxa" w:w="620"/>
            <w:shd w:fill="F7F9FC" w:val="clear"/>
            <w:tcMar>
              <w:top w:type="dxa" w:w="70"/>
              <w:left w:type="dxa" w:w="110"/>
              <w:bottom w:type="dxa" w:w="70"/>
              <w:right w:type="dxa" w:w="110"/>
            </w:tcMar>
          </w:tcPr>
          <w:p>
            <w:pPr>
              <w:spacing w:after="0"/>
            </w:pPr>
            <w:r>
              <w:rPr>
                <w:b/>
                <w:bCs/>
                <w:i w:val="false"/>
                <w:iCs w:val="false"/>
                <w:color w:val="000000"/>
                <w:sz w:val="18"/>
                <w:szCs w:val="18"/>
              </w:rPr>
              <w:t xml:space="preserve">Yes, per row</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e.g. Murabaha term facility.</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Trimmed. A row with a blank name is DROPPED from the save — this is how a facility is deleted.</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Empty</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Bank or entity (lender)</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Text</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Free text.</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Trimmed, truncated to 160. Blank stored as NULL.</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Empty</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Facility type</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Term loan / Revolving / Overdraft / Letter of guarantee / Letter of credit / Lease (IFRS 16) / Other.</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Unknown value falls back to Term loan. Determines the default classification.</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Term loan</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Classification</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Long term / Short term.</w:t>
            </w:r>
          </w:p>
        </w:tc>
        <w:tc>
          <w:tcPr>
            <w:tcW w:type="dxa" w:w="2440"/>
            <w:shd w:fill="FFFFFF" w:val="clear"/>
            <w:tcMar>
              <w:top w:type="dxa" w:w="70"/>
              <w:left w:type="dxa" w:w="110"/>
              <w:bottom w:type="dxa" w:w="70"/>
              <w:right w:type="dxa" w:w="110"/>
            </w:tcMar>
          </w:tcPr>
          <w:p>
            <w:pPr>
              <w:spacing w:after="40"/>
            </w:pPr>
            <w:r>
              <w:rPr>
                <w:b w:val="false"/>
                <w:bCs w:val="false"/>
                <w:i w:val="false"/>
                <w:iCs w:val="false"/>
                <w:color w:val="000000"/>
                <w:sz w:val="18"/>
                <w:szCs w:val="18"/>
              </w:rPr>
              <w:t xml:space="preserve">An explicit choice always wins. Only if it is neither value does the facility type decide (so a revolver cannot be filed long-term by accident).</w:t>
            </w:r>
          </w:p>
          <w:p>
            <w:pPr>
              <w:spacing w:after="0"/>
            </w:pPr>
            <w:r>
              <w:rPr>
                <w:b w:val="false"/>
                <w:bCs w:val="false"/>
                <w:i w:val="false"/>
                <w:iCs w:val="false"/>
                <w:color w:val="000000"/>
                <w:sz w:val="18"/>
                <w:szCs w:val="18"/>
              </w:rPr>
              <w:t xml:space="preserve">This is what the engine actually uses — the facility type itself is not read by the engine.</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From facility type</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Facility limit</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Amount</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ceiling; 0 means uncapped.</w:t>
            </w:r>
          </w:p>
        </w:tc>
        <w:tc>
          <w:tcPr>
            <w:tcW w:type="dxa" w:w="2440"/>
            <w:shd w:fill="F7F9FC" w:val="clear"/>
            <w:tcMar>
              <w:top w:type="dxa" w:w="70"/>
              <w:left w:type="dxa" w:w="110"/>
              <w:bottom w:type="dxa" w:w="70"/>
              <w:right w:type="dxa" w:w="110"/>
            </w:tcMar>
          </w:tcPr>
          <w:p>
            <w:pPr>
              <w:spacing w:after="40"/>
            </w:pPr>
            <w:r>
              <w:rPr>
                <w:b w:val="false"/>
                <w:bCs w:val="false"/>
                <w:i w:val="false"/>
                <w:iCs w:val="false"/>
                <w:color w:val="000000"/>
                <w:sz w:val="18"/>
                <w:szCs w:val="18"/>
              </w:rPr>
              <w:t xml:space="preserve">Tolerant number parser: commas, spaces and underscores stripped; (400) = −400; unreadable text becomes 0. No min/max.</w:t>
            </w:r>
          </w:p>
          <w:p>
            <w:pPr>
              <w:spacing w:after="0"/>
            </w:pPr>
            <w:r>
              <w:rPr>
                <w:b w:val="false"/>
                <w:bCs w:val="false"/>
                <w:i w:val="false"/>
                <w:iCs w:val="false"/>
                <w:color w:val="000000"/>
                <w:sz w:val="18"/>
                <w:szCs w:val="18"/>
              </w:rPr>
              <w:t xml:space="preserve">STORED BUT NEVER USED by the engine — drawdowns are not checked against it. See U7.</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Opening balance</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Amount</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What is outstanding at the opening date.</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Tolerant number parser: commas, spaces and underscores stripped; (400) = −400; unreadable text becomes 0. No min/max.</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First drawdown year</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 of forecast years</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 forecast year.</w:t>
            </w:r>
          </w:p>
        </w:tc>
        <w:tc>
          <w:tcPr>
            <w:tcW w:type="dxa" w:w="2440"/>
            <w:shd w:fill="F7F9FC" w:val="clear"/>
            <w:tcMar>
              <w:top w:type="dxa" w:w="70"/>
              <w:left w:type="dxa" w:w="110"/>
              <w:bottom w:type="dxa" w:w="70"/>
              <w:right w:type="dxa" w:w="110"/>
            </w:tcMar>
          </w:tcPr>
          <w:p>
            <w:pPr>
              <w:spacing w:after="40"/>
            </w:pPr>
            <w:r>
              <w:rPr>
                <w:b w:val="false"/>
                <w:bCs w:val="false"/>
                <w:i w:val="false"/>
                <w:iCs w:val="false"/>
                <w:color w:val="000000"/>
                <w:sz w:val="18"/>
                <w:szCs w:val="18"/>
              </w:rPr>
              <w:t xml:space="preserve">Parsed as an integer, 0 on failure.</w:t>
            </w:r>
          </w:p>
          <w:p>
            <w:pPr>
              <w:spacing w:after="0"/>
            </w:pPr>
            <w:r>
              <w:rPr>
                <w:b w:val="false"/>
                <w:bCs w:val="false"/>
                <w:i w:val="false"/>
                <w:iCs w:val="false"/>
                <w:color w:val="000000"/>
                <w:sz w:val="18"/>
                <w:szCs w:val="18"/>
              </w:rPr>
              <w:t xml:space="preserve">STORED BUT NEVER USED by the engine — the schedule below is what drives drawdowns. See U7.</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First year</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Interest rate</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Percentage</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Annual rate, whole percentage e.g. 6.2.</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Typed as a whole percentage (7.5 → 0.075). Unreadable becomes 0. No min/max — negatives and values over 100 are accepted.</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Commitment or arrangement fee</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Percentage</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Whole percentage.</w:t>
            </w:r>
          </w:p>
        </w:tc>
        <w:tc>
          <w:tcPr>
            <w:tcW w:type="dxa" w:w="2440"/>
            <w:shd w:fill="F7F9FC" w:val="clear"/>
            <w:tcMar>
              <w:top w:type="dxa" w:w="70"/>
              <w:left w:type="dxa" w:w="110"/>
              <w:bottom w:type="dxa" w:w="70"/>
              <w:right w:type="dxa" w:w="110"/>
            </w:tcMar>
          </w:tcPr>
          <w:p>
            <w:pPr>
              <w:spacing w:after="40"/>
            </w:pPr>
            <w:r>
              <w:rPr>
                <w:b w:val="false"/>
                <w:bCs w:val="false"/>
                <w:i w:val="false"/>
                <w:iCs w:val="false"/>
                <w:color w:val="000000"/>
                <w:sz w:val="18"/>
                <w:szCs w:val="18"/>
              </w:rPr>
              <w:t xml:space="preserve">Typed as a whole percentage (7.5 → 0.075). Unreadable becomes 0. No min/max — negatives and values over 100 are accepted.</w:t>
            </w:r>
          </w:p>
          <w:p>
            <w:pPr>
              <w:spacing w:after="0"/>
            </w:pPr>
            <w:r>
              <w:rPr>
                <w:b w:val="false"/>
                <w:bCs w:val="false"/>
                <w:i w:val="false"/>
                <w:iCs w:val="false"/>
                <w:color w:val="000000"/>
                <w:sz w:val="18"/>
                <w:szCs w:val="18"/>
              </w:rPr>
              <w:t xml:space="preserve">STORED BUT NEVER USED by the engine — no fee is ever charged to the P&amp;L. See U7.</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Grace periods before repayment</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Number</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count of periods.</w:t>
            </w:r>
          </w:p>
        </w:tc>
        <w:tc>
          <w:tcPr>
            <w:tcW w:type="dxa" w:w="2440"/>
            <w:shd w:fill="FFFFFF" w:val="clear"/>
            <w:tcMar>
              <w:top w:type="dxa" w:w="70"/>
              <w:left w:type="dxa" w:w="110"/>
              <w:bottom w:type="dxa" w:w="70"/>
              <w:right w:type="dxa" w:w="110"/>
            </w:tcMar>
          </w:tcPr>
          <w:p>
            <w:pPr>
              <w:spacing w:after="40"/>
            </w:pPr>
            <w:r>
              <w:rPr>
                <w:b w:val="false"/>
                <w:bCs w:val="false"/>
                <w:i w:val="false"/>
                <w:iCs w:val="false"/>
                <w:color w:val="000000"/>
                <w:sz w:val="18"/>
                <w:szCs w:val="18"/>
              </w:rPr>
              <w:t xml:space="preserve">Parsed as an integer, 0 on failure.</w:t>
            </w:r>
          </w:p>
          <w:p>
            <w:pPr>
              <w:spacing w:after="0"/>
            </w:pPr>
            <w:r>
              <w:rPr>
                <w:b w:val="false"/>
                <w:bCs w:val="false"/>
                <w:i w:val="false"/>
                <w:iCs w:val="false"/>
                <w:color w:val="000000"/>
                <w:sz w:val="18"/>
                <w:szCs w:val="18"/>
              </w:rPr>
              <w:t xml:space="preserve">STORED BUT NEVER USED by the engine. See U7.</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Notes</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Text</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Covenants, security, pricing basis.</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Trimmed, truncated to 500.</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Empty</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Drawdown (per forecast year)</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Amount</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New money drawn that year.</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Tolerant number parser: commas, spaces and underscores stripped; (400) = −400; unreadable text becomes 0. No min/max.</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Repayment (per forecast year)</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Amount</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Principal repaid that year.</w:t>
            </w:r>
          </w:p>
        </w:tc>
        <w:tc>
          <w:tcPr>
            <w:tcW w:type="dxa" w:w="2440"/>
            <w:shd w:fill="F7F9FC" w:val="clear"/>
            <w:tcMar>
              <w:top w:type="dxa" w:w="70"/>
              <w:left w:type="dxa" w:w="110"/>
              <w:bottom w:type="dxa" w:w="70"/>
              <w:right w:type="dxa" w:w="110"/>
            </w:tcMar>
          </w:tcPr>
          <w:p>
            <w:pPr>
              <w:spacing w:after="40"/>
            </w:pPr>
            <w:r>
              <w:rPr>
                <w:b w:val="false"/>
                <w:bCs w:val="false"/>
                <w:i w:val="false"/>
                <w:iCs w:val="false"/>
                <w:color w:val="000000"/>
                <w:sz w:val="18"/>
                <w:szCs w:val="18"/>
              </w:rPr>
              <w:t xml:space="preserve">Tolerant number parser: commas, spaces and underscores stripped; (400) = −400; unreadable text becomes 0. No min/max.</w:t>
            </w:r>
          </w:p>
          <w:p>
            <w:pPr>
              <w:spacing w:after="0"/>
            </w:pPr>
            <w:r>
              <w:rPr>
                <w:b w:val="false"/>
                <w:bCs w:val="false"/>
                <w:i w:val="false"/>
                <w:iCs w:val="false"/>
                <w:color w:val="000000"/>
                <w:sz w:val="18"/>
                <w:szCs w:val="18"/>
              </w:rPr>
              <w:t xml:space="preserve">Capped at save time by the engine, not the form: the actual repayment applied is min(entered, opening balance + that year's drawdown), so a facility can never go negative.</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bl>
    <w:p>
      <w:pPr>
        <w:spacing w:after="80"/>
      </w:pPr>
    </w:p>
    <w:tbl>
      <w:tblPr>
        <w:tblW w:type="dxa" w:w="9360"/>
        <w:tblBorders>
          <w:top w:val="single" w:color="D5DEE8" w:sz="2"/>
          <w:left w:val="single" w:color="D48806" w:sz="12"/>
          <w:bottom w:val="single" w:color="D5DEE8" w:sz="2"/>
          <w:right w:val="single" w:color="D5DEE8" w:sz="2"/>
          <w:insideH w:val="none"/>
          <w:insideV w:val="none"/>
        </w:tblBorders>
      </w:tblPr>
      <w:tblGrid>
        <w:gridCol w:w="9360"/>
      </w:tblGrid>
      <w:tr>
        <w:tc>
          <w:tcPr>
            <w:tcW w:type="dxa" w:w="9360"/>
            <w:shd w:fill="FFF4E0" w:val="clear"/>
            <w:tcMar>
              <w:top w:type="dxa" w:w="120"/>
              <w:left w:type="dxa" w:w="180"/>
              <w:bottom w:type="dxa" w:w="120"/>
              <w:right w:type="dxa" w:w="180"/>
            </w:tcMar>
          </w:tcPr>
          <w:p>
            <w:pPr>
              <w:spacing w:after="60"/>
            </w:pPr>
            <w:r>
              <w:rPr>
                <w:b/>
                <w:bCs/>
                <w:color w:val="1F3864"/>
                <w:sz w:val="20"/>
                <w:szCs w:val="20"/>
              </w:rPr>
              <w:t xml:space="preserve">Facilities are replaced wholesale on every save</w:t>
            </w:r>
          </w:p>
          <w:p>
            <w:pPr>
              <w:spacing w:after="60"/>
            </w:pPr>
            <w:r>
              <w:rPr>
                <w:sz w:val="19"/>
                <w:szCs w:val="19"/>
              </w:rPr>
              <w:t xml:space="preserve">Saving this step DELETES every facility on the model and re-inserts what was posted. Facility ids therefore change on every save.</w:t>
            </w:r>
          </w:p>
          <w:p>
            <w:pPr>
              <w:spacing w:after="0"/>
            </w:pPr>
            <w:r>
              <w:rPr>
                <w:sz w:val="19"/>
                <w:szCs w:val="19"/>
              </w:rPr>
              <w:t xml:space="preserve">Consequence for QA: any test that captures a facility id and reuses it after a save will fail. Test by name, not by id.</w:t>
            </w:r>
          </w:p>
        </w:tc>
      </w:tr>
    </w:tbl>
    <w:p>
      <w:pPr>
        <w:spacing w:after="80"/>
      </w:pPr>
    </w:p>
    <w:p>
      <w:pPr>
        <w:pStyle w:val="Heading3"/>
        <w:spacing w:after="100" w:before="220"/>
      </w:pPr>
      <w:r>
        <w:t xml:space="preserve">Panel B — Provisions &amp; distributions</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850"/>
        <w:gridCol w:w="1000"/>
        <w:gridCol w:w="620"/>
        <w:gridCol w:w="2100"/>
        <w:gridCol w:w="2440"/>
        <w:gridCol w:w="1350"/>
      </w:tblGrid>
      <w:tr>
        <w:trPr>
          <w:tblHeader/>
        </w:trPr>
        <w:tc>
          <w:tcPr>
            <w:tcW w:type="dxa" w:w="1850"/>
            <w:shd w:fill="1F3864" w:val="clear"/>
            <w:tcMar>
              <w:top w:type="dxa" w:w="70"/>
              <w:left w:type="dxa" w:w="110"/>
              <w:bottom w:type="dxa" w:w="70"/>
              <w:right w:type="dxa" w:w="110"/>
            </w:tcMar>
          </w:tcPr>
          <w:p>
            <w:pPr>
              <w:spacing w:after="0"/>
            </w:pPr>
            <w:r>
              <w:rPr>
                <w:b/>
                <w:bCs/>
                <w:i w:val="false"/>
                <w:iCs w:val="false"/>
                <w:color w:val="FFFFFF"/>
                <w:sz w:val="18"/>
                <w:szCs w:val="18"/>
              </w:rPr>
              <w:t xml:space="preserve">Field</w:t>
            </w:r>
          </w:p>
        </w:tc>
        <w:tc>
          <w:tcPr>
            <w:tcW w:type="dxa" w:w="1000"/>
            <w:shd w:fill="1F3864" w:val="clear"/>
            <w:tcMar>
              <w:top w:type="dxa" w:w="70"/>
              <w:left w:type="dxa" w:w="110"/>
              <w:bottom w:type="dxa" w:w="70"/>
              <w:right w:type="dxa" w:w="110"/>
            </w:tcMar>
          </w:tcPr>
          <w:p>
            <w:pPr>
              <w:spacing w:after="0"/>
            </w:pPr>
            <w:r>
              <w:rPr>
                <w:b/>
                <w:bCs/>
                <w:i w:val="false"/>
                <w:iCs w:val="false"/>
                <w:color w:val="FFFFFF"/>
                <w:sz w:val="18"/>
                <w:szCs w:val="18"/>
              </w:rPr>
              <w:t xml:space="preserve">Type</w:t>
            </w:r>
          </w:p>
        </w:tc>
        <w:tc>
          <w:tcPr>
            <w:tcW w:type="dxa" w:w="620"/>
            <w:shd w:fill="1F3864" w:val="clear"/>
            <w:tcMar>
              <w:top w:type="dxa" w:w="70"/>
              <w:left w:type="dxa" w:w="110"/>
              <w:bottom w:type="dxa" w:w="70"/>
              <w:right w:type="dxa" w:w="110"/>
            </w:tcMar>
          </w:tcPr>
          <w:p>
            <w:pPr>
              <w:spacing w:after="0"/>
            </w:pPr>
            <w:r>
              <w:rPr>
                <w:b/>
                <w:bCs/>
                <w:i w:val="false"/>
                <w:iCs w:val="false"/>
                <w:color w:val="FFFFFF"/>
                <w:sz w:val="18"/>
                <w:szCs w:val="18"/>
              </w:rPr>
              <w:t xml:space="preserve">Req.</w:t>
            </w:r>
          </w:p>
        </w:tc>
        <w:tc>
          <w:tcPr>
            <w:tcW w:type="dxa" w:w="2100"/>
            <w:shd w:fill="1F3864" w:val="clear"/>
            <w:tcMar>
              <w:top w:type="dxa" w:w="70"/>
              <w:left w:type="dxa" w:w="110"/>
              <w:bottom w:type="dxa" w:w="70"/>
              <w:right w:type="dxa" w:w="110"/>
            </w:tcMar>
          </w:tcPr>
          <w:p>
            <w:pPr>
              <w:spacing w:after="0"/>
            </w:pPr>
            <w:r>
              <w:rPr>
                <w:b/>
                <w:bCs/>
                <w:i w:val="false"/>
                <w:iCs w:val="false"/>
                <w:color w:val="FFFFFF"/>
                <w:sz w:val="18"/>
                <w:szCs w:val="18"/>
              </w:rPr>
              <w:t xml:space="preserve">Accepted values / format</w:t>
            </w:r>
          </w:p>
        </w:tc>
        <w:tc>
          <w:tcPr>
            <w:tcW w:type="dxa" w:w="2440"/>
            <w:shd w:fill="1F3864" w:val="clear"/>
            <w:tcMar>
              <w:top w:type="dxa" w:w="70"/>
              <w:left w:type="dxa" w:w="110"/>
              <w:bottom w:type="dxa" w:w="70"/>
              <w:right w:type="dxa" w:w="110"/>
            </w:tcMar>
          </w:tcPr>
          <w:p>
            <w:pPr>
              <w:spacing w:after="0"/>
            </w:pPr>
            <w:r>
              <w:rPr>
                <w:b/>
                <w:bCs/>
                <w:i w:val="false"/>
                <w:iCs w:val="false"/>
                <w:color w:val="FFFFFF"/>
                <w:sz w:val="18"/>
                <w:szCs w:val="18"/>
              </w:rPr>
              <w:t xml:space="preserve">Validation &amp; limits</w:t>
            </w:r>
          </w:p>
        </w:tc>
        <w:tc>
          <w:tcPr>
            <w:tcW w:type="dxa" w:w="1350"/>
            <w:shd w:fill="1F3864" w:val="clear"/>
            <w:tcMar>
              <w:top w:type="dxa" w:w="70"/>
              <w:left w:type="dxa" w:w="110"/>
              <w:bottom w:type="dxa" w:w="70"/>
              <w:right w:type="dxa" w:w="110"/>
            </w:tcMar>
          </w:tcPr>
          <w:p>
            <w:pPr>
              <w:spacing w:after="0"/>
            </w:pPr>
            <w:r>
              <w:rPr>
                <w:b/>
                <w:bCs/>
                <w:i w:val="false"/>
                <w:iCs w:val="false"/>
                <w:color w:val="FFFFFF"/>
                <w:sz w:val="18"/>
                <w:szCs w:val="18"/>
              </w:rPr>
              <w:t xml:space="preserve">Default</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Number of provisions</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Number (page control)</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An integer.</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Clamped to 0–20. Reloads as /inputs/7?provisions=N.</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Number saved</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Provision name</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Text</w:t>
            </w:r>
          </w:p>
        </w:tc>
        <w:tc>
          <w:tcPr>
            <w:tcW w:type="dxa" w:w="620"/>
            <w:shd w:fill="F7F9FC" w:val="clear"/>
            <w:tcMar>
              <w:top w:type="dxa" w:w="70"/>
              <w:left w:type="dxa" w:w="110"/>
              <w:bottom w:type="dxa" w:w="70"/>
              <w:right w:type="dxa" w:w="110"/>
            </w:tcMar>
          </w:tcPr>
          <w:p>
            <w:pPr>
              <w:spacing w:after="0"/>
            </w:pPr>
            <w:r>
              <w:rPr>
                <w:b/>
                <w:bCs/>
                <w:i w:val="false"/>
                <w:iCs w:val="false"/>
                <w:color w:val="000000"/>
                <w:sz w:val="18"/>
                <w:szCs w:val="18"/>
              </w:rPr>
              <w:t xml:space="preserve">Yes, per row</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e.g. End-of-service benefits.</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 blank name drops the row from the save.</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Empty</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Kind</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Provision / Dividend or distribution / Other reserve.</w:t>
            </w:r>
          </w:p>
        </w:tc>
        <w:tc>
          <w:tcPr>
            <w:tcW w:type="dxa" w:w="2440"/>
            <w:shd w:fill="FFFFFF" w:val="clear"/>
            <w:tcMar>
              <w:top w:type="dxa" w:w="70"/>
              <w:left w:type="dxa" w:w="110"/>
              <w:bottom w:type="dxa" w:w="70"/>
              <w:right w:type="dxa" w:w="110"/>
            </w:tcMar>
          </w:tcPr>
          <w:p>
            <w:pPr>
              <w:spacing w:after="40"/>
            </w:pPr>
            <w:r>
              <w:rPr>
                <w:b w:val="false"/>
                <w:bCs w:val="false"/>
                <w:i w:val="false"/>
                <w:iCs w:val="false"/>
                <w:color w:val="000000"/>
                <w:sz w:val="18"/>
                <w:szCs w:val="18"/>
              </w:rPr>
              <w:t xml:space="preserve">"Provision" and "Other reserve" accrue as an operating expense inside EBITDA and build a non-current liability.</w:t>
            </w:r>
          </w:p>
          <w:p>
            <w:pPr>
              <w:spacing w:after="0"/>
            </w:pPr>
            <w:r>
              <w:rPr>
                <w:b w:val="false"/>
                <w:bCs w:val="false"/>
                <w:i w:val="false"/>
                <w:iCs w:val="false"/>
                <w:color w:val="000000"/>
                <w:sz w:val="18"/>
                <w:szCs w:val="18"/>
              </w:rPr>
              <w:t xml:space="preserve">"Dividend" is treated as an appropriation of profit, NOT an expense.</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Provision</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Opening balance</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Amount</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balance carried at the opening date.</w:t>
            </w:r>
          </w:p>
        </w:tc>
        <w:tc>
          <w:tcPr>
            <w:tcW w:type="dxa" w:w="2440"/>
            <w:shd w:fill="F7F9FC" w:val="clear"/>
            <w:tcMar>
              <w:top w:type="dxa" w:w="70"/>
              <w:left w:type="dxa" w:w="110"/>
              <w:bottom w:type="dxa" w:w="70"/>
              <w:right w:type="dxa" w:w="110"/>
            </w:tcMar>
          </w:tcPr>
          <w:p>
            <w:pPr>
              <w:spacing w:after="40"/>
            </w:pPr>
            <w:r>
              <w:rPr>
                <w:b w:val="false"/>
                <w:bCs w:val="false"/>
                <w:i w:val="false"/>
                <w:iCs w:val="false"/>
                <w:color w:val="000000"/>
                <w:sz w:val="18"/>
                <w:szCs w:val="18"/>
              </w:rPr>
              <w:t xml:space="preserve">Tolerant number parser: commas, spaces and underscores stripped; (400) = −400; unreadable text becomes 0. No min/max.</w:t>
            </w:r>
          </w:p>
          <w:p>
            <w:pPr>
              <w:spacing w:after="0"/>
            </w:pPr>
            <w:r>
              <w:rPr>
                <w:b w:val="false"/>
                <w:bCs w:val="false"/>
                <w:i w:val="false"/>
                <w:iCs w:val="false"/>
                <w:color w:val="000000"/>
                <w:sz w:val="18"/>
                <w:szCs w:val="18"/>
              </w:rPr>
              <w:t xml:space="preserve">IMPORTANT: this figure is informational. The forecast rolls forward from the "Provisions &amp; employee benefits" line on the opening balance sheet (step 10), not from the sum of these. Any difference is reported, not absorbed.</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Charged on (basis)</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Fixed amount a period / % of revenue / % of net profit / % of payroll.</w:t>
            </w:r>
          </w:p>
        </w:tc>
        <w:tc>
          <w:tcPr>
            <w:tcW w:type="dxa" w:w="2440"/>
            <w:shd w:fill="FFFFFF" w:val="clear"/>
            <w:tcMar>
              <w:top w:type="dxa" w:w="70"/>
              <w:left w:type="dxa" w:w="110"/>
              <w:bottom w:type="dxa" w:w="70"/>
              <w:right w:type="dxa" w:w="110"/>
            </w:tcMar>
          </w:tcPr>
          <w:p>
            <w:pPr>
              <w:spacing w:after="40"/>
            </w:pPr>
            <w:r>
              <w:rPr>
                <w:b w:val="false"/>
                <w:bCs w:val="false"/>
                <w:i w:val="false"/>
                <w:iCs w:val="false"/>
                <w:color w:val="000000"/>
                <w:sz w:val="18"/>
                <w:szCs w:val="18"/>
              </w:rPr>
              <w:t xml:space="preserve">"% of payroll" has no payroll input in this model — it reads General &amp; administrative costs instead.</w:t>
            </w:r>
          </w:p>
          <w:p>
            <w:pPr>
              <w:spacing w:after="0"/>
            </w:pPr>
            <w:r>
              <w:rPr>
                <w:b w:val="false"/>
                <w:bCs w:val="false"/>
                <w:i w:val="false"/>
                <w:iCs w:val="false"/>
                <w:color w:val="000000"/>
                <w:sz w:val="18"/>
                <w:szCs w:val="18"/>
              </w:rPr>
              <w:t xml:space="preserve">"% of net profit" reads EBITDA − depreciation, floored at 0.</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Fixed</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Rate</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Percentage</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Whole percentage.</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Typed as a whole percentage (7.5 → 0.075). Unreadable becomes 0. No min/max — negatives and values over 100 are accepted.</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Fixed amount</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Amount</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flat charge each period.</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Added to the rate-based charge; both can apply at once.</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bl>
    <w:p>
      <w:pPr>
        <w:spacing w:after="80"/>
      </w:pPr>
    </w:p>
    <w:tbl>
      <w:tblPr>
        <w:tblW w:type="dxa" w:w="9360"/>
        <w:tblBorders>
          <w:top w:val="single" w:color="D5DEE8" w:sz="2"/>
          <w:left w:val="single" w:color="D48806" w:sz="12"/>
          <w:bottom w:val="single" w:color="D5DEE8" w:sz="2"/>
          <w:right w:val="single" w:color="D5DEE8" w:sz="2"/>
          <w:insideH w:val="none"/>
          <w:insideV w:val="none"/>
        </w:tblBorders>
      </w:tblPr>
      <w:tblGrid>
        <w:gridCol w:w="9360"/>
      </w:tblGrid>
      <w:tr>
        <w:tc>
          <w:tcPr>
            <w:tcW w:type="dxa" w:w="9360"/>
            <w:shd w:fill="FFF4E0" w:val="clear"/>
            <w:tcMar>
              <w:top w:type="dxa" w:w="120"/>
              <w:left w:type="dxa" w:w="180"/>
              <w:bottom w:type="dxa" w:w="120"/>
              <w:right w:type="dxa" w:w="180"/>
            </w:tcMar>
          </w:tcPr>
          <w:p>
            <w:pPr>
              <w:spacing w:after="60"/>
            </w:pPr>
            <w:r>
              <w:rPr>
                <w:b/>
                <w:bCs/>
                <w:color w:val="1F3864"/>
                <w:sz w:val="20"/>
                <w:szCs w:val="20"/>
              </w:rPr>
              <w:t xml:space="preserve">Provisions are never settled in cash</w:t>
            </w:r>
          </w:p>
          <w:p>
            <w:pPr>
              <w:spacing w:after="60"/>
            </w:pPr>
            <w:r>
              <w:rPr>
                <w:sz w:val="19"/>
                <w:szCs w:val="19"/>
              </w:rPr>
              <w:t xml:space="preserve">The engine charges a provision to the P&amp;L each year and grows the liability by the same amount. The cash settlement is hard-coded to zero — there is no field to enter one.</w:t>
            </w:r>
          </w:p>
          <w:p>
            <w:pPr>
              <w:spacing w:after="60"/>
            </w:pPr>
            <w:r>
              <w:rPr>
                <w:sz w:val="19"/>
                <w:szCs w:val="19"/>
              </w:rPr>
              <w:t xml:space="preserve">So a provision balance only ever accretes. Whether that is intended is a business question — see U8.</w:t>
            </w:r>
          </w:p>
          <w:p>
            <w:pPr>
              <w:spacing w:after="0"/>
            </w:pPr>
            <w:r>
              <w:rPr>
                <w:sz w:val="19"/>
                <w:szCs w:val="19"/>
              </w:rPr>
              <w:t xml:space="preserve">The "Dividend" kind is even more surprising: the seeded data defines an "Ordinary dividend" at 30% of profit, but it is filtered out of the accruing provisions and then never used anywhere. Dividends actually come from the payout ratio in Panel C. See U9.</w:t>
            </w:r>
          </w:p>
        </w:tc>
      </w:tr>
    </w:tbl>
    <w:p>
      <w:pPr>
        <w:spacing w:after="80"/>
      </w:pPr>
    </w:p>
    <w:p>
      <w:pPr>
        <w:pStyle w:val="Heading3"/>
        <w:spacing w:after="100" w:before="220"/>
      </w:pPr>
      <w:r>
        <w:t xml:space="preserve">Panel C — Revolver &amp; distribution policy (one set of values per model)</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850"/>
        <w:gridCol w:w="1000"/>
        <w:gridCol w:w="620"/>
        <w:gridCol w:w="2100"/>
        <w:gridCol w:w="2440"/>
        <w:gridCol w:w="1350"/>
      </w:tblGrid>
      <w:tr>
        <w:trPr>
          <w:tblHeader/>
        </w:trPr>
        <w:tc>
          <w:tcPr>
            <w:tcW w:type="dxa" w:w="1850"/>
            <w:shd w:fill="1F3864" w:val="clear"/>
            <w:tcMar>
              <w:top w:type="dxa" w:w="70"/>
              <w:left w:type="dxa" w:w="110"/>
              <w:bottom w:type="dxa" w:w="70"/>
              <w:right w:type="dxa" w:w="110"/>
            </w:tcMar>
          </w:tcPr>
          <w:p>
            <w:pPr>
              <w:spacing w:after="0"/>
            </w:pPr>
            <w:r>
              <w:rPr>
                <w:b/>
                <w:bCs/>
                <w:i w:val="false"/>
                <w:iCs w:val="false"/>
                <w:color w:val="FFFFFF"/>
                <w:sz w:val="18"/>
                <w:szCs w:val="18"/>
              </w:rPr>
              <w:t xml:space="preserve">Field</w:t>
            </w:r>
          </w:p>
        </w:tc>
        <w:tc>
          <w:tcPr>
            <w:tcW w:type="dxa" w:w="1000"/>
            <w:shd w:fill="1F3864" w:val="clear"/>
            <w:tcMar>
              <w:top w:type="dxa" w:w="70"/>
              <w:left w:type="dxa" w:w="110"/>
              <w:bottom w:type="dxa" w:w="70"/>
              <w:right w:type="dxa" w:w="110"/>
            </w:tcMar>
          </w:tcPr>
          <w:p>
            <w:pPr>
              <w:spacing w:after="0"/>
            </w:pPr>
            <w:r>
              <w:rPr>
                <w:b/>
                <w:bCs/>
                <w:i w:val="false"/>
                <w:iCs w:val="false"/>
                <w:color w:val="FFFFFF"/>
                <w:sz w:val="18"/>
                <w:szCs w:val="18"/>
              </w:rPr>
              <w:t xml:space="preserve">Type</w:t>
            </w:r>
          </w:p>
        </w:tc>
        <w:tc>
          <w:tcPr>
            <w:tcW w:type="dxa" w:w="620"/>
            <w:shd w:fill="1F3864" w:val="clear"/>
            <w:tcMar>
              <w:top w:type="dxa" w:w="70"/>
              <w:left w:type="dxa" w:w="110"/>
              <w:bottom w:type="dxa" w:w="70"/>
              <w:right w:type="dxa" w:w="110"/>
            </w:tcMar>
          </w:tcPr>
          <w:p>
            <w:pPr>
              <w:spacing w:after="0"/>
            </w:pPr>
            <w:r>
              <w:rPr>
                <w:b/>
                <w:bCs/>
                <w:i w:val="false"/>
                <w:iCs w:val="false"/>
                <w:color w:val="FFFFFF"/>
                <w:sz w:val="18"/>
                <w:szCs w:val="18"/>
              </w:rPr>
              <w:t xml:space="preserve">Req.</w:t>
            </w:r>
          </w:p>
        </w:tc>
        <w:tc>
          <w:tcPr>
            <w:tcW w:type="dxa" w:w="2100"/>
            <w:shd w:fill="1F3864" w:val="clear"/>
            <w:tcMar>
              <w:top w:type="dxa" w:w="70"/>
              <w:left w:type="dxa" w:w="110"/>
              <w:bottom w:type="dxa" w:w="70"/>
              <w:right w:type="dxa" w:w="110"/>
            </w:tcMar>
          </w:tcPr>
          <w:p>
            <w:pPr>
              <w:spacing w:after="0"/>
            </w:pPr>
            <w:r>
              <w:rPr>
                <w:b/>
                <w:bCs/>
                <w:i w:val="false"/>
                <w:iCs w:val="false"/>
                <w:color w:val="FFFFFF"/>
                <w:sz w:val="18"/>
                <w:szCs w:val="18"/>
              </w:rPr>
              <w:t xml:space="preserve">Accepted values / format</w:t>
            </w:r>
          </w:p>
        </w:tc>
        <w:tc>
          <w:tcPr>
            <w:tcW w:type="dxa" w:w="2440"/>
            <w:shd w:fill="1F3864" w:val="clear"/>
            <w:tcMar>
              <w:top w:type="dxa" w:w="70"/>
              <w:left w:type="dxa" w:w="110"/>
              <w:bottom w:type="dxa" w:w="70"/>
              <w:right w:type="dxa" w:w="110"/>
            </w:tcMar>
          </w:tcPr>
          <w:p>
            <w:pPr>
              <w:spacing w:after="0"/>
            </w:pPr>
            <w:r>
              <w:rPr>
                <w:b/>
                <w:bCs/>
                <w:i w:val="false"/>
                <w:iCs w:val="false"/>
                <w:color w:val="FFFFFF"/>
                <w:sz w:val="18"/>
                <w:szCs w:val="18"/>
              </w:rPr>
              <w:t xml:space="preserve">Validation &amp; limits</w:t>
            </w:r>
          </w:p>
        </w:tc>
        <w:tc>
          <w:tcPr>
            <w:tcW w:type="dxa" w:w="1350"/>
            <w:shd w:fill="1F3864" w:val="clear"/>
            <w:tcMar>
              <w:top w:type="dxa" w:w="70"/>
              <w:left w:type="dxa" w:w="110"/>
              <w:bottom w:type="dxa" w:w="70"/>
              <w:right w:type="dxa" w:w="110"/>
            </w:tcMar>
          </w:tcPr>
          <w:p>
            <w:pPr>
              <w:spacing w:after="0"/>
            </w:pPr>
            <w:r>
              <w:rPr>
                <w:b/>
                <w:bCs/>
                <w:i w:val="false"/>
                <w:iCs w:val="false"/>
                <w:color w:val="FFFFFF"/>
                <w:sz w:val="18"/>
                <w:szCs w:val="18"/>
              </w:rPr>
              <w:t xml:space="preserve">Default</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Minimum cash balance</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Amount</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floor the revolver defends.</w:t>
            </w:r>
          </w:p>
        </w:tc>
        <w:tc>
          <w:tcPr>
            <w:tcW w:type="dxa" w:w="2440"/>
            <w:shd w:fill="FFFFFF" w:val="clear"/>
            <w:tcMar>
              <w:top w:type="dxa" w:w="70"/>
              <w:left w:type="dxa" w:w="110"/>
              <w:bottom w:type="dxa" w:w="70"/>
              <w:right w:type="dxa" w:w="110"/>
            </w:tcMar>
          </w:tcPr>
          <w:p>
            <w:pPr>
              <w:spacing w:after="40"/>
            </w:pPr>
            <w:r>
              <w:rPr>
                <w:b w:val="false"/>
                <w:bCs w:val="false"/>
                <w:i w:val="false"/>
                <w:iCs w:val="false"/>
                <w:color w:val="000000"/>
                <w:sz w:val="18"/>
                <w:szCs w:val="18"/>
              </w:rPr>
              <w:t xml:space="preserve">Tolerant number parser: commas, spaces and underscores stripped; (400) = −400; unreadable text becomes 0. No min/max.</w:t>
            </w:r>
          </w:p>
          <w:p>
            <w:pPr>
              <w:spacing w:after="0"/>
            </w:pPr>
            <w:r>
              <w:rPr>
                <w:b w:val="false"/>
                <w:bCs w:val="false"/>
                <w:i w:val="false"/>
                <w:iCs w:val="false"/>
                <w:color w:val="000000"/>
                <w:sz w:val="18"/>
                <w:szCs w:val="18"/>
              </w:rPr>
              <w:t xml:space="preserve">In a single-business-unit view this is scaled down by that unit's allocation share.</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Revolver rate</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Percentage</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Whole percentage.</w:t>
            </w:r>
          </w:p>
        </w:tc>
        <w:tc>
          <w:tcPr>
            <w:tcW w:type="dxa" w:w="2440"/>
            <w:shd w:fill="F7F9FC" w:val="clear"/>
            <w:tcMar>
              <w:top w:type="dxa" w:w="70"/>
              <w:left w:type="dxa" w:w="110"/>
              <w:bottom w:type="dxa" w:w="70"/>
              <w:right w:type="dxa" w:w="110"/>
            </w:tcMar>
          </w:tcPr>
          <w:p>
            <w:pPr>
              <w:spacing w:after="40"/>
            </w:pPr>
            <w:r>
              <w:rPr>
                <w:b w:val="false"/>
                <w:bCs w:val="false"/>
                <w:i w:val="false"/>
                <w:iCs w:val="false"/>
                <w:color w:val="000000"/>
                <w:sz w:val="18"/>
                <w:szCs w:val="18"/>
              </w:rPr>
              <w:t xml:space="preserve">Typed as a whole percentage (7.5 → 0.075). Unreadable becomes 0. No min/max — negatives and values over 100 are accepted.</w:t>
            </w:r>
          </w:p>
          <w:p>
            <w:pPr>
              <w:spacing w:after="0"/>
            </w:pPr>
            <w:r>
              <w:rPr>
                <w:b w:val="false"/>
                <w:bCs w:val="false"/>
                <w:i w:val="false"/>
                <w:iCs w:val="false"/>
                <w:color w:val="000000"/>
                <w:sz w:val="18"/>
                <w:szCs w:val="18"/>
              </w:rPr>
              <w:t xml:space="preserve">Also used as the interest rate on any unallocated long-term debt, and as the floor-adjusted discount rate for investment appraisal.</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7</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Interest earned on cash</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Percentage</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Whole percentage.</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Typed as a whole percentage (7.5 → 0.075). Unreadable becomes 0. No min/max — negatives and values over 100 are accepted.</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2</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Dividend payout ratio</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Percentage</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Whole percentage of net profit.</w:t>
            </w:r>
          </w:p>
        </w:tc>
        <w:tc>
          <w:tcPr>
            <w:tcW w:type="dxa" w:w="2440"/>
            <w:shd w:fill="F7F9FC" w:val="clear"/>
            <w:tcMar>
              <w:top w:type="dxa" w:w="70"/>
              <w:left w:type="dxa" w:w="110"/>
              <w:bottom w:type="dxa" w:w="70"/>
              <w:right w:type="dxa" w:w="110"/>
            </w:tcMar>
          </w:tcPr>
          <w:p>
            <w:pPr>
              <w:spacing w:after="40"/>
            </w:pPr>
            <w:r>
              <w:rPr>
                <w:b w:val="false"/>
                <w:bCs w:val="false"/>
                <w:i w:val="false"/>
                <w:iCs w:val="false"/>
                <w:color w:val="000000"/>
                <w:sz w:val="18"/>
                <w:szCs w:val="18"/>
              </w:rPr>
              <w:t xml:space="preserve">Typed as a whole percentage (7.5 → 0.075). Unreadable becomes 0. No min/max — negatives and values over 100 are accepted.</w:t>
            </w:r>
          </w:p>
          <w:p>
            <w:pPr>
              <w:spacing w:after="0"/>
            </w:pPr>
            <w:r>
              <w:rPr>
                <w:b w:val="false"/>
                <w:bCs w:val="false"/>
                <w:i w:val="false"/>
                <w:iCs w:val="false"/>
                <w:color w:val="000000"/>
                <w:sz w:val="18"/>
                <w:szCs w:val="18"/>
              </w:rPr>
              <w:t xml:space="preserve">Applied to net profit floored at 0 — a loss year pays no dividend.</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Statutory reserve transfer</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Percentage</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Whole percentage of net profit.</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Same treatment as the payout ratio.</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bl>
    <w:p>
      <w:pPr>
        <w:spacing w:after="80"/>
      </w:pPr>
    </w:p>
    <w:p>
      <w:pPr>
        <w:pStyle w:val="Heading3"/>
        <w:spacing w:after="100" w:before="220"/>
      </w:pPr>
      <w:r>
        <w:t xml:space="preserve">Panel D — Opening debt reconciliation (read-only)</w:t>
      </w:r>
    </w:p>
    <w:p>
      <w:pPr>
        <w:spacing w:after="120"/>
      </w:pPr>
      <w:r>
        <w:rPr>
          <w:b w:val="false"/>
          <w:bCs w:val="false"/>
          <w:i w:val="false"/>
          <w:iCs w:val="false"/>
          <w:sz w:val="20"/>
          <w:szCs w:val="20"/>
        </w:rPr>
        <w:t xml:space="preserve">A live comparison between the named facilities here and the opening debt entered on step 10. This is one of the four integrity checks and a common cause of an out-of-balance model.</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300"/>
        <w:gridCol w:w="6060"/>
      </w:tblGrid>
      <w:tr>
        <w:trPr>
          <w:tblHeader/>
        </w:trPr>
        <w:tc>
          <w:tcPr>
            <w:tcW w:type="dxa" w:w="3300"/>
            <w:shd w:fill="1F3864" w:val="clear"/>
            <w:tcMar>
              <w:top w:type="dxa" w:w="70"/>
              <w:left w:type="dxa" w:w="110"/>
              <w:bottom w:type="dxa" w:w="70"/>
              <w:right w:type="dxa" w:w="110"/>
            </w:tcMar>
          </w:tcPr>
          <w:p>
            <w:pPr>
              <w:spacing w:after="0"/>
            </w:pPr>
            <w:r>
              <w:rPr>
                <w:b/>
                <w:bCs/>
                <w:i w:val="false"/>
                <w:iCs w:val="false"/>
                <w:color w:val="FFFFFF"/>
                <w:sz w:val="18"/>
                <w:szCs w:val="18"/>
              </w:rPr>
              <w:t xml:space="preserve">Situation</w:t>
            </w:r>
          </w:p>
        </w:tc>
        <w:tc>
          <w:tcPr>
            <w:tcW w:type="dxa" w:w="6060"/>
            <w:shd w:fill="1F3864" w:val="clear"/>
            <w:tcMar>
              <w:top w:type="dxa" w:w="70"/>
              <w:left w:type="dxa" w:w="110"/>
              <w:bottom w:type="dxa" w:w="70"/>
              <w:right w:type="dxa" w:w="110"/>
            </w:tcMar>
          </w:tcPr>
          <w:p>
            <w:pPr>
              <w:spacing w:after="0"/>
            </w:pPr>
            <w:r>
              <w:rPr>
                <w:b/>
                <w:bCs/>
                <w:i w:val="false"/>
                <w:iCs w:val="false"/>
                <w:color w:val="FFFFFF"/>
                <w:sz w:val="18"/>
                <w:szCs w:val="18"/>
              </w:rPr>
              <w:t xml:space="preserve">What the engine does</w:t>
            </w:r>
          </w:p>
        </w:tc>
      </w:tr>
      <w:tr>
        <w:tc>
          <w:tcPr>
            <w:tcW w:type="dxa" w:w="33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Step 10 long-term debt is MORE than the named long-term facilities</w:t>
            </w:r>
          </w:p>
        </w:tc>
        <w:tc>
          <w:tcPr>
            <w:tcW w:type="dxa" w:w="6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excess is carried as "unallocated term debt". It never amortises (no schedule describes it) and it accrues interest at the revolver rate. The balance sheet still ties.</w:t>
            </w:r>
          </w:p>
        </w:tc>
      </w:tr>
      <w:tr>
        <w:tc>
          <w:tcPr>
            <w:tcW w:type="dxa" w:w="33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Step 10 short-term debt is MORE than the named short-term facilities</w:t>
            </w:r>
          </w:p>
        </w:tc>
        <w:tc>
          <w:tcPr>
            <w:tcW w:type="dxa" w:w="6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excess becomes the opening revolver drawing.</w:t>
            </w:r>
          </w:p>
        </w:tc>
      </w:tr>
      <w:tr>
        <w:tc>
          <w:tcPr>
            <w:tcW w:type="dxa" w:w="33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Named facilities total MORE than step 10 says (either side)</w:t>
            </w:r>
          </w:p>
        </w:tc>
        <w:tc>
          <w:tcPr>
            <w:tcW w:type="dxa" w:w="6060"/>
            <w:shd w:fill="FFFFFF" w:val="clear"/>
            <w:tcMar>
              <w:top w:type="dxa" w:w="70"/>
              <w:left w:type="dxa" w:w="110"/>
              <w:bottom w:type="dxa" w:w="70"/>
              <w:right w:type="dxa" w:w="110"/>
            </w:tcMar>
          </w:tcPr>
          <w:p>
            <w:pPr>
              <w:spacing w:after="40"/>
            </w:pPr>
            <w:r>
              <w:rPr>
                <w:b w:val="false"/>
                <w:bCs w:val="false"/>
                <w:i w:val="false"/>
                <w:iCs w:val="false"/>
                <w:color w:val="000000"/>
                <w:sz w:val="18"/>
                <w:szCs w:val="18"/>
              </w:rPr>
              <w:t xml:space="preserve">Reported as unreconciled. The debt check FAILS, a red banner appears on every output screen, and checks.allPass is false. Nothing is absorbed — absorbing it would either overstate debt or silently restate audited opening equity.</w:t>
            </w:r>
          </w:p>
          <w:p>
            <w:pPr>
              <w:spacing w:after="0"/>
            </w:pPr>
            <w:r>
              <w:rPr>
                <w:b w:val="false"/>
                <w:bCs w:val="false"/>
                <w:i w:val="false"/>
                <w:iCs w:val="false"/>
                <w:color w:val="000000"/>
                <w:sz w:val="18"/>
                <w:szCs w:val="18"/>
              </w:rPr>
              <w:t xml:space="preserve">Tolerance: 0.50 in model currency.</w:t>
            </w:r>
          </w:p>
        </w:tc>
      </w:tr>
    </w:tbl>
    <w:p>
      <w:pPr>
        <w:spacing w:after="120"/>
      </w:pPr>
    </w:p>
    <w:p>
      <w:pPr>
        <w:pStyle w:val="Heading2"/>
        <w:spacing w:after="120" w:before="280"/>
      </w:pPr>
      <w:r>
        <w:t xml:space="preserve">2.13  Input step 8 — Strategic initiatives  —  /inputs/8</w:t>
      </w:r>
    </w:p>
    <w:p>
      <w:pPr>
        <w:spacing w:after="120"/>
      </w:pPr>
      <w:r>
        <w:rPr>
          <w:b w:val="false"/>
          <w:bCs w:val="false"/>
          <w:i w:val="false"/>
          <w:iCs w:val="false"/>
          <w:sz w:val="20"/>
          <w:szCs w:val="20"/>
        </w:rPr>
        <w:t xml:space="preserve">Purpose: new projects layered on top of the organic business. Each is a named, costed project with its own five-line profit and loss account and a delivery probability per scenario.</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850"/>
        <w:gridCol w:w="1000"/>
        <w:gridCol w:w="620"/>
        <w:gridCol w:w="2100"/>
        <w:gridCol w:w="2440"/>
        <w:gridCol w:w="1350"/>
      </w:tblGrid>
      <w:tr>
        <w:trPr>
          <w:tblHeader/>
        </w:trPr>
        <w:tc>
          <w:tcPr>
            <w:tcW w:type="dxa" w:w="1850"/>
            <w:shd w:fill="1F3864" w:val="clear"/>
            <w:tcMar>
              <w:top w:type="dxa" w:w="70"/>
              <w:left w:type="dxa" w:w="110"/>
              <w:bottom w:type="dxa" w:w="70"/>
              <w:right w:type="dxa" w:w="110"/>
            </w:tcMar>
          </w:tcPr>
          <w:p>
            <w:pPr>
              <w:spacing w:after="0"/>
            </w:pPr>
            <w:r>
              <w:rPr>
                <w:b/>
                <w:bCs/>
                <w:i w:val="false"/>
                <w:iCs w:val="false"/>
                <w:color w:val="FFFFFF"/>
                <w:sz w:val="18"/>
                <w:szCs w:val="18"/>
              </w:rPr>
              <w:t xml:space="preserve">Field</w:t>
            </w:r>
          </w:p>
        </w:tc>
        <w:tc>
          <w:tcPr>
            <w:tcW w:type="dxa" w:w="1000"/>
            <w:shd w:fill="1F3864" w:val="clear"/>
            <w:tcMar>
              <w:top w:type="dxa" w:w="70"/>
              <w:left w:type="dxa" w:w="110"/>
              <w:bottom w:type="dxa" w:w="70"/>
              <w:right w:type="dxa" w:w="110"/>
            </w:tcMar>
          </w:tcPr>
          <w:p>
            <w:pPr>
              <w:spacing w:after="0"/>
            </w:pPr>
            <w:r>
              <w:rPr>
                <w:b/>
                <w:bCs/>
                <w:i w:val="false"/>
                <w:iCs w:val="false"/>
                <w:color w:val="FFFFFF"/>
                <w:sz w:val="18"/>
                <w:szCs w:val="18"/>
              </w:rPr>
              <w:t xml:space="preserve">Type</w:t>
            </w:r>
          </w:p>
        </w:tc>
        <w:tc>
          <w:tcPr>
            <w:tcW w:type="dxa" w:w="620"/>
            <w:shd w:fill="1F3864" w:val="clear"/>
            <w:tcMar>
              <w:top w:type="dxa" w:w="70"/>
              <w:left w:type="dxa" w:w="110"/>
              <w:bottom w:type="dxa" w:w="70"/>
              <w:right w:type="dxa" w:w="110"/>
            </w:tcMar>
          </w:tcPr>
          <w:p>
            <w:pPr>
              <w:spacing w:after="0"/>
            </w:pPr>
            <w:r>
              <w:rPr>
                <w:b/>
                <w:bCs/>
                <w:i w:val="false"/>
                <w:iCs w:val="false"/>
                <w:color w:val="FFFFFF"/>
                <w:sz w:val="18"/>
                <w:szCs w:val="18"/>
              </w:rPr>
              <w:t xml:space="preserve">Req.</w:t>
            </w:r>
          </w:p>
        </w:tc>
        <w:tc>
          <w:tcPr>
            <w:tcW w:type="dxa" w:w="2100"/>
            <w:shd w:fill="1F3864" w:val="clear"/>
            <w:tcMar>
              <w:top w:type="dxa" w:w="70"/>
              <w:left w:type="dxa" w:w="110"/>
              <w:bottom w:type="dxa" w:w="70"/>
              <w:right w:type="dxa" w:w="110"/>
            </w:tcMar>
          </w:tcPr>
          <w:p>
            <w:pPr>
              <w:spacing w:after="0"/>
            </w:pPr>
            <w:r>
              <w:rPr>
                <w:b/>
                <w:bCs/>
                <w:i w:val="false"/>
                <w:iCs w:val="false"/>
                <w:color w:val="FFFFFF"/>
                <w:sz w:val="18"/>
                <w:szCs w:val="18"/>
              </w:rPr>
              <w:t xml:space="preserve">Accepted values / format</w:t>
            </w:r>
          </w:p>
        </w:tc>
        <w:tc>
          <w:tcPr>
            <w:tcW w:type="dxa" w:w="2440"/>
            <w:shd w:fill="1F3864" w:val="clear"/>
            <w:tcMar>
              <w:top w:type="dxa" w:w="70"/>
              <w:left w:type="dxa" w:w="110"/>
              <w:bottom w:type="dxa" w:w="70"/>
              <w:right w:type="dxa" w:w="110"/>
            </w:tcMar>
          </w:tcPr>
          <w:p>
            <w:pPr>
              <w:spacing w:after="0"/>
            </w:pPr>
            <w:r>
              <w:rPr>
                <w:b/>
                <w:bCs/>
                <w:i w:val="false"/>
                <w:iCs w:val="false"/>
                <w:color w:val="FFFFFF"/>
                <w:sz w:val="18"/>
                <w:szCs w:val="18"/>
              </w:rPr>
              <w:t xml:space="preserve">Validation &amp; limits</w:t>
            </w:r>
          </w:p>
        </w:tc>
        <w:tc>
          <w:tcPr>
            <w:tcW w:type="dxa" w:w="1350"/>
            <w:shd w:fill="1F3864" w:val="clear"/>
            <w:tcMar>
              <w:top w:type="dxa" w:w="70"/>
              <w:left w:type="dxa" w:w="110"/>
              <w:bottom w:type="dxa" w:w="70"/>
              <w:right w:type="dxa" w:w="110"/>
            </w:tcMar>
          </w:tcPr>
          <w:p>
            <w:pPr>
              <w:spacing w:after="0"/>
            </w:pPr>
            <w:r>
              <w:rPr>
                <w:b/>
                <w:bCs/>
                <w:i w:val="false"/>
                <w:iCs w:val="false"/>
                <w:color w:val="FFFFFF"/>
                <w:sz w:val="18"/>
                <w:szCs w:val="18"/>
              </w:rPr>
              <w:t xml:space="preserve">Default</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How many</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Number (page control)</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An integer.</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Clamped to 0–20. Reloads as /inputs/8?count=N.</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Number saved</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Initiative name</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Text</w:t>
            </w:r>
          </w:p>
        </w:tc>
        <w:tc>
          <w:tcPr>
            <w:tcW w:type="dxa" w:w="620"/>
            <w:shd w:fill="F7F9FC" w:val="clear"/>
            <w:tcMar>
              <w:top w:type="dxa" w:w="70"/>
              <w:left w:type="dxa" w:w="110"/>
              <w:bottom w:type="dxa" w:w="70"/>
              <w:right w:type="dxa" w:w="110"/>
            </w:tcMar>
          </w:tcPr>
          <w:p>
            <w:pPr>
              <w:spacing w:after="0"/>
            </w:pPr>
            <w:r>
              <w:rPr>
                <w:b/>
                <w:bCs/>
                <w:i w:val="false"/>
                <w:iCs w:val="false"/>
                <w:color w:val="000000"/>
                <w:sz w:val="18"/>
                <w:szCs w:val="18"/>
              </w:rPr>
              <w:t xml:space="preserve">Yes, per block</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Free text.</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Trimmed. A blank name drops the whole initiative from the save — this is how one is deleted.</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Empty</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Business unit that owns it</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"Total — whole company", or one business unit.</w:t>
            </w:r>
          </w:p>
        </w:tc>
        <w:tc>
          <w:tcPr>
            <w:tcW w:type="dxa" w:w="2440"/>
            <w:shd w:fill="FFFFFF" w:val="clear"/>
            <w:tcMar>
              <w:top w:type="dxa" w:w="70"/>
              <w:left w:type="dxa" w:w="110"/>
              <w:bottom w:type="dxa" w:w="70"/>
              <w:right w:type="dxa" w:w="110"/>
            </w:tcMar>
          </w:tcPr>
          <w:p>
            <w:pPr>
              <w:spacing w:after="40"/>
            </w:pPr>
            <w:r>
              <w:rPr>
                <w:b w:val="false"/>
                <w:bCs w:val="false"/>
                <w:i w:val="false"/>
                <w:iCs w:val="false"/>
                <w:color w:val="000000"/>
                <w:sz w:val="18"/>
                <w:szCs w:val="18"/>
              </w:rPr>
              <w:t xml:space="preserve">"Total — whole company" is stored as NULL: the initiative reaches the group result but appears in no single unit, and gets its own line on the Revenue mix screen so the mix still sums to 100%.</w:t>
            </w:r>
          </w:p>
          <w:p>
            <w:pPr>
              <w:spacing w:after="0"/>
            </w:pPr>
            <w:r>
              <w:rPr>
                <w:b w:val="false"/>
                <w:bCs w:val="false"/>
                <w:i w:val="false"/>
                <w:iCs w:val="false"/>
                <w:color w:val="000000"/>
                <w:sz w:val="18"/>
                <w:szCs w:val="18"/>
              </w:rPr>
              <w:t xml:space="preserve">An id that does not parse also becomes NULL.</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Total — whole company</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Starts in</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 of forecast years</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 forecast year.</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Stored as a 0-based index. Every year before it is forced to zero, regardless of what is typed in the P&amp;L grid.</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First forecast year</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Strategic goal</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Text</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long-term ambition.</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Trimmed, truncated to 240. Display only — no calculation uses it.</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Empty</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Strategic objective</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Text</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measurable outcome.</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Trimmed, truncated to 240. Display only.</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Empty</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Scenario shown for this initiative</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"Follow the model scenario", or Best / Worst / Base.</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Stored as NULL when following the model. When set, it overrides the scenario used to pick this initiative's probability EVERYWHERE — income statement, cash flow, balance sheet, not just the Initiatives screen.</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Follow the model</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Notes</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Text</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Free text.</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Trimmed, truncated to 500.</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Empty</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Delivery in Best / Base / Worst</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Percentage × 3</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Whole percentage, 0–100.</w:t>
            </w:r>
          </w:p>
        </w:tc>
        <w:tc>
          <w:tcPr>
            <w:tcW w:type="dxa" w:w="2440"/>
            <w:shd w:fill="FFFFFF" w:val="clear"/>
            <w:tcMar>
              <w:top w:type="dxa" w:w="70"/>
              <w:left w:type="dxa" w:w="110"/>
              <w:bottom w:type="dxa" w:w="70"/>
              <w:right w:type="dxa" w:w="110"/>
            </w:tcMar>
          </w:tcPr>
          <w:p>
            <w:pPr>
              <w:spacing w:after="40"/>
            </w:pPr>
            <w:r>
              <w:rPr>
                <w:b w:val="false"/>
                <w:bCs w:val="false"/>
                <w:i w:val="false"/>
                <w:iCs w:val="false"/>
                <w:color w:val="000000"/>
                <w:sz w:val="18"/>
                <w:szCs w:val="18"/>
              </w:rPr>
              <w:t xml:space="preserve">Typed as a whole percentage (7.5 → 0.075). Unreadable becomes 0. No min/max — negatives and values over 100 are accepted.</w:t>
            </w:r>
          </w:p>
          <w:p>
            <w:pPr>
              <w:spacing w:after="0"/>
            </w:pPr>
            <w:r>
              <w:rPr>
                <w:b w:val="false"/>
                <w:bCs w:val="false"/>
                <w:i w:val="false"/>
                <w:iCs w:val="false"/>
                <w:color w:val="000000"/>
                <w:sz w:val="18"/>
                <w:szCs w:val="18"/>
              </w:rPr>
              <w:t xml:space="preserve">No clamp to 0–100: entering 150 gives a 1.5× multiplier and entering a negative reverses the sign of every line. See U10.</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0 for a new blank row</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Revenue generated (per year)</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Amount</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Incremental revenue.</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Tolerant number parser: commas, spaces and underscores stripped; (400) = −400; unreadable text becomes 0. No min/max.</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Cost of sales (per year)</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Amount</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Positive magnitude — the model applies the sign.</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Tolerant number parser: commas, spaces and underscores stripped; (400) = −400; unreadable text becomes 0. No min/max.</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Additional operating cost (per year)</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Amount</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Positive magnitude of extra S&amp;D + G&amp;A.</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Tolerant number parser: commas, spaces and underscores stripped; (400) = −400; unreadable text becomes 0. No min/max.</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Operating cost removed (per year)</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Amount</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Positive magnitude of savings delivered.</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Tolerant number parser: commas, spaces and underscores stripped; (400) = −400; unreadable text becomes 0. No min/max.</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Capital expenditure required (per year)</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Amount</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Capex the initiative consumes.</w:t>
            </w:r>
          </w:p>
        </w:tc>
        <w:tc>
          <w:tcPr>
            <w:tcW w:type="dxa" w:w="2440"/>
            <w:shd w:fill="F7F9FC" w:val="clear"/>
            <w:tcMar>
              <w:top w:type="dxa" w:w="70"/>
              <w:left w:type="dxa" w:w="110"/>
              <w:bottom w:type="dxa" w:w="70"/>
              <w:right w:type="dxa" w:w="110"/>
            </w:tcMar>
          </w:tcPr>
          <w:p>
            <w:pPr>
              <w:spacing w:after="40"/>
            </w:pPr>
            <w:r>
              <w:rPr>
                <w:b w:val="false"/>
                <w:bCs w:val="false"/>
                <w:i w:val="false"/>
                <w:iCs w:val="false"/>
                <w:color w:val="000000"/>
                <w:sz w:val="18"/>
                <w:szCs w:val="18"/>
              </w:rPr>
              <w:t xml:space="preserve">Tolerant number parser: commas, spaces and underscores stripped; (400) = −400; unreadable text becomes 0. No min/max.</w:t>
            </w:r>
          </w:p>
          <w:p>
            <w:pPr>
              <w:spacing w:after="0"/>
            </w:pPr>
            <w:r>
              <w:rPr>
                <w:b w:val="false"/>
                <w:bCs w:val="false"/>
                <w:i w:val="false"/>
                <w:iCs w:val="false"/>
                <w:color w:val="000000"/>
                <w:sz w:val="18"/>
                <w:szCs w:val="18"/>
              </w:rPr>
              <w:t xml:space="preserve">Capitalised as a new asset, not expensed. Superseded if the same initiative has itemised assets on step 9.</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Capex asset class</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One of the 14 IFRS classes.</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Unknown key falls back to "Other assets" (10-year life).</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Plant &amp; machinery</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Useful life (years)</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Number</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Years.</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Blank or 0 uses the chosen class's standard life. A nil life would otherwise mean the asset never depreciates.</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Class default</w:t>
            </w:r>
          </w:p>
        </w:tc>
      </w:tr>
    </w:tbl>
    <w:p>
      <w:pPr>
        <w:spacing w:after="80"/>
      </w:pPr>
    </w:p>
    <w:p>
      <w:pPr>
        <w:pStyle w:val="Heading3"/>
        <w:spacing w:after="100" w:before="220"/>
      </w:pPr>
      <w:r>
        <w:t xml:space="preserve">The 14 IFRS asset classes and their standard lives</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200"/>
        <w:gridCol w:w="1000"/>
        <w:gridCol w:w="2400"/>
        <w:gridCol w:w="1000"/>
        <w:gridCol w:w="1760"/>
        <w:gridCol w:w="1000"/>
      </w:tblGrid>
      <w:tr>
        <w:trPr>
          <w:tblHeader/>
        </w:trPr>
        <w:tc>
          <w:tcPr>
            <w:tcW w:type="dxa" w:w="2200"/>
            <w:shd w:fill="1F3864" w:val="clear"/>
            <w:tcMar>
              <w:top w:type="dxa" w:w="70"/>
              <w:left w:type="dxa" w:w="110"/>
              <w:bottom w:type="dxa" w:w="70"/>
              <w:right w:type="dxa" w:w="110"/>
            </w:tcMar>
          </w:tcPr>
          <w:p>
            <w:pPr>
              <w:spacing w:after="0"/>
            </w:pPr>
            <w:r>
              <w:rPr>
                <w:b/>
                <w:bCs/>
                <w:i w:val="false"/>
                <w:iCs w:val="false"/>
                <w:color w:val="FFFFFF"/>
                <w:sz w:val="18"/>
                <w:szCs w:val="18"/>
              </w:rPr>
              <w:t xml:space="preserve">Class</w:t>
            </w:r>
          </w:p>
        </w:tc>
        <w:tc>
          <w:tcPr>
            <w:tcW w:type="dxa" w:w="1000"/>
            <w:shd w:fill="1F3864" w:val="clear"/>
            <w:tcMar>
              <w:top w:type="dxa" w:w="70"/>
              <w:left w:type="dxa" w:w="110"/>
              <w:bottom w:type="dxa" w:w="70"/>
              <w:right w:type="dxa" w:w="110"/>
            </w:tcMar>
          </w:tcPr>
          <w:p>
            <w:pPr>
              <w:spacing w:after="0"/>
            </w:pPr>
            <w:r>
              <w:rPr>
                <w:b/>
                <w:bCs/>
                <w:i w:val="false"/>
                <w:iCs w:val="false"/>
                <w:color w:val="FFFFFF"/>
                <w:sz w:val="18"/>
                <w:szCs w:val="18"/>
              </w:rPr>
              <w:t xml:space="preserve">Life (yrs)</w:t>
            </w:r>
          </w:p>
        </w:tc>
        <w:tc>
          <w:tcPr>
            <w:tcW w:type="dxa" w:w="2400"/>
            <w:shd w:fill="1F3864" w:val="clear"/>
            <w:tcMar>
              <w:top w:type="dxa" w:w="70"/>
              <w:left w:type="dxa" w:w="110"/>
              <w:bottom w:type="dxa" w:w="70"/>
              <w:right w:type="dxa" w:w="110"/>
            </w:tcMar>
          </w:tcPr>
          <w:p>
            <w:pPr>
              <w:spacing w:after="0"/>
            </w:pPr>
            <w:r>
              <w:rPr>
                <w:b/>
                <w:bCs/>
                <w:i w:val="false"/>
                <w:iCs w:val="false"/>
                <w:color w:val="FFFFFF"/>
                <w:sz w:val="18"/>
                <w:szCs w:val="18"/>
              </w:rPr>
              <w:t xml:space="preserve">Class</w:t>
            </w:r>
          </w:p>
        </w:tc>
        <w:tc>
          <w:tcPr>
            <w:tcW w:type="dxa" w:w="1000"/>
            <w:shd w:fill="1F3864" w:val="clear"/>
            <w:tcMar>
              <w:top w:type="dxa" w:w="70"/>
              <w:left w:type="dxa" w:w="110"/>
              <w:bottom w:type="dxa" w:w="70"/>
              <w:right w:type="dxa" w:w="110"/>
            </w:tcMar>
          </w:tcPr>
          <w:p>
            <w:pPr>
              <w:spacing w:after="0"/>
            </w:pPr>
            <w:r>
              <w:rPr>
                <w:b/>
                <w:bCs/>
                <w:i w:val="false"/>
                <w:iCs w:val="false"/>
                <w:color w:val="FFFFFF"/>
                <w:sz w:val="18"/>
                <w:szCs w:val="18"/>
              </w:rPr>
              <w:t xml:space="preserve">Life (yrs)</w:t>
            </w:r>
          </w:p>
        </w:tc>
        <w:tc>
          <w:tcPr>
            <w:tcW w:type="dxa" w:w="1760"/>
            <w:shd w:fill="1F3864" w:val="clear"/>
            <w:tcMar>
              <w:top w:type="dxa" w:w="70"/>
              <w:left w:type="dxa" w:w="110"/>
              <w:bottom w:type="dxa" w:w="70"/>
              <w:right w:type="dxa" w:w="110"/>
            </w:tcMar>
          </w:tcPr>
          <w:p>
            <w:pPr>
              <w:spacing w:after="0"/>
            </w:pPr>
            <w:r>
              <w:rPr>
                <w:b/>
                <w:bCs/>
                <w:i w:val="false"/>
                <w:iCs w:val="false"/>
                <w:color w:val="FFFFFF"/>
                <w:sz w:val="18"/>
                <w:szCs w:val="18"/>
              </w:rPr>
              <w:t xml:space="preserve">Class</w:t>
            </w:r>
          </w:p>
        </w:tc>
        <w:tc>
          <w:tcPr>
            <w:tcW w:type="dxa" w:w="1000"/>
            <w:shd w:fill="1F3864" w:val="clear"/>
            <w:tcMar>
              <w:top w:type="dxa" w:w="70"/>
              <w:left w:type="dxa" w:w="110"/>
              <w:bottom w:type="dxa" w:w="70"/>
              <w:right w:type="dxa" w:w="110"/>
            </w:tcMar>
          </w:tcPr>
          <w:p>
            <w:pPr>
              <w:spacing w:after="0"/>
            </w:pPr>
            <w:r>
              <w:rPr>
                <w:b/>
                <w:bCs/>
                <w:i w:val="false"/>
                <w:iCs w:val="false"/>
                <w:color w:val="FFFFFF"/>
                <w:sz w:val="18"/>
                <w:szCs w:val="18"/>
              </w:rPr>
              <w:t xml:space="preserve">Life (yrs)</w:t>
            </w:r>
          </w:p>
        </w:tc>
      </w:tr>
      <w:tr>
        <w:tc>
          <w:tcPr>
            <w:tcW w:type="dxa" w:w="2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Land</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0 (not depreciated)</w:t>
            </w:r>
          </w:p>
        </w:tc>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Plant &amp; machinery</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12</w:t>
            </w:r>
          </w:p>
        </w:tc>
        <w:tc>
          <w:tcPr>
            <w:tcW w:type="dxa" w:w="17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Furniture &amp; fixtures</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8</w:t>
            </w:r>
          </w:p>
        </w:tc>
      </w:tr>
      <w:tr>
        <w:tc>
          <w:tcPr>
            <w:tcW w:type="dxa" w:w="2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Buildings</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25</w:t>
            </w:r>
          </w:p>
        </w:tc>
        <w:tc>
          <w:tcPr>
            <w:tcW w:type="dxa" w:w="2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Production lines &amp; heavy equipment</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15</w:t>
            </w:r>
          </w:p>
        </w:tc>
        <w:tc>
          <w:tcPr>
            <w:tcW w:type="dxa" w:w="17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Office equipment</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5</w:t>
            </w:r>
          </w:p>
        </w:tc>
      </w:tr>
      <w:tr>
        <w:tc>
          <w:tcPr>
            <w:tcW w:type="dxa" w:w="2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Leasehold improvements</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10</w:t>
            </w:r>
          </w:p>
        </w:tc>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Tools &amp; small equipment</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5</w:t>
            </w:r>
          </w:p>
        </w:tc>
        <w:tc>
          <w:tcPr>
            <w:tcW w:type="dxa" w:w="17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IT hardware</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4</w:t>
            </w:r>
          </w:p>
        </w:tc>
      </w:tr>
      <w:tr>
        <w:tc>
          <w:tcPr>
            <w:tcW w:type="dxa" w:w="2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Motor vehicles</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5</w:t>
            </w:r>
          </w:p>
        </w:tc>
        <w:tc>
          <w:tcPr>
            <w:tcW w:type="dxa" w:w="2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Trucks &amp; heavy vehicles</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8</w:t>
            </w:r>
          </w:p>
        </w:tc>
        <w:tc>
          <w:tcPr>
            <w:tcW w:type="dxa" w:w="17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Software &amp; licences</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5</w:t>
            </w:r>
          </w:p>
        </w:tc>
      </w:tr>
      <w:tr>
        <w:tc>
          <w:tcPr>
            <w:tcW w:type="dxa" w:w="2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Right-of-use assets (IFRS 16)</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5</w:t>
            </w:r>
          </w:p>
        </w:tc>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Other assets</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10</w:t>
            </w:r>
          </w:p>
        </w:tc>
        <w:tc>
          <w:tcPr>
            <w:tcW w:type="dxa" w:w="17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w:t>
            </w:r>
          </w:p>
        </w:tc>
      </w:tr>
    </w:tbl>
    <w:p>
      <w:pPr>
        <w:spacing w:after="80"/>
      </w:pPr>
    </w:p>
    <w:p>
      <w:pPr>
        <w:pStyle w:val="ListParagraph"/>
        <w:numPr>
          <w:ilvl w:val="0"/>
          <w:numId w:val="3"/>
        </w:numPr>
        <w:spacing w:after="60"/>
      </w:pPr>
      <w:r>
        <w:rPr>
          <w:sz w:val="20"/>
          <w:szCs w:val="20"/>
        </w:rPr>
        <w:t xml:space="preserve">Every figure in an initiative is multiplied by the delivery probability for the scenario in force. Years before the start year are forced to zero.</w:t>
      </w:r>
    </w:p>
    <w:p>
      <w:pPr>
        <w:pStyle w:val="ListParagraph"/>
        <w:numPr>
          <w:ilvl w:val="0"/>
          <w:numId w:val="3"/>
        </w:numPr>
        <w:spacing w:after="60"/>
      </w:pPr>
      <w:r>
        <w:rPr>
          <w:sz w:val="20"/>
          <w:szCs w:val="20"/>
        </w:rPr>
        <w:t xml:space="preserve">Initiative revenue joins "Revenue — strategic initiatives" on the income statement; cost of sales joins the group cost of sales; added cost and removed cost both hit operating expenses; capex joins the capex line so it depreciates and consumes cash.</w:t>
      </w:r>
    </w:p>
    <w:p>
      <w:pPr>
        <w:pStyle w:val="ListParagraph"/>
        <w:numPr>
          <w:ilvl w:val="0"/>
          <w:numId w:val="3"/>
        </w:numPr>
        <w:spacing w:after="60"/>
      </w:pPr>
      <w:r>
        <w:rPr>
          <w:sz w:val="20"/>
          <w:szCs w:val="20"/>
        </w:rPr>
        <w:t xml:space="preserve">The scenario used to pick the probability is decided in this order: (1) the initiative's own "Scenario shown" if set, then (2) the model-wide initiative scenario set on the Initiatives OUTPUT screen if set, then (3) the scenario currently being viewed.</w:t>
      </w:r>
    </w:p>
    <w:p>
      <w:pPr>
        <w:pStyle w:val="ListParagraph"/>
        <w:numPr>
          <w:ilvl w:val="0"/>
          <w:numId w:val="3"/>
        </w:numPr>
        <w:spacing w:after="60"/>
      </w:pPr>
      <w:r>
        <w:rPr>
          <w:sz w:val="20"/>
          <w:szCs w:val="20"/>
        </w:rPr>
        <w:t xml:space="preserve">Saving replaces the whole initiative set, so initiative ids change on every save.</w:t>
      </w:r>
    </w:p>
    <w:p>
      <w:pPr>
        <w:pStyle w:val="ListParagraph"/>
        <w:numPr>
          <w:ilvl w:val="0"/>
          <w:numId w:val="3"/>
        </w:numPr>
        <w:spacing w:after="60"/>
      </w:pPr>
      <w:r>
        <w:rPr>
          <w:sz w:val="20"/>
          <w:szCs w:val="20"/>
        </w:rPr>
        <w:t xml:space="preserve">The on-screen note "Organic growth on step 4 stays separate" is a stale reference — organic growth is step 5.</w:t>
      </w:r>
    </w:p>
    <w:p>
      <w:pPr>
        <w:spacing w:after="120"/>
      </w:pPr>
    </w:p>
    <w:p>
      <w:pPr>
        <w:pStyle w:val="Heading2"/>
        <w:spacing w:after="120" w:before="280"/>
      </w:pPr>
      <w:r>
        <w:t xml:space="preserve">2.14  Input step 9 — Capital expenditure  —  /inputs/9</w:t>
      </w:r>
    </w:p>
    <w:p>
      <w:pPr>
        <w:spacing w:after="120"/>
      </w:pPr>
      <w:r>
        <w:rPr>
          <w:b w:val="false"/>
          <w:bCs w:val="false"/>
          <w:i w:val="false"/>
          <w:iCs w:val="false"/>
          <w:sz w:val="20"/>
          <w:szCs w:val="20"/>
        </w:rPr>
        <w:t xml:space="preserve">Purpose: two ways to describe capital spend on one screen — a simple maintenance figure per year, and an itemised asset register where each addition carries its own IFRS class, useful life and depreciation rate.</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850"/>
        <w:gridCol w:w="1000"/>
        <w:gridCol w:w="620"/>
        <w:gridCol w:w="2100"/>
        <w:gridCol w:w="2440"/>
        <w:gridCol w:w="1350"/>
      </w:tblGrid>
      <w:tr>
        <w:trPr>
          <w:tblHeader/>
        </w:trPr>
        <w:tc>
          <w:tcPr>
            <w:tcW w:type="dxa" w:w="1850"/>
            <w:shd w:fill="1F3864" w:val="clear"/>
            <w:tcMar>
              <w:top w:type="dxa" w:w="70"/>
              <w:left w:type="dxa" w:w="110"/>
              <w:bottom w:type="dxa" w:w="70"/>
              <w:right w:type="dxa" w:w="110"/>
            </w:tcMar>
          </w:tcPr>
          <w:p>
            <w:pPr>
              <w:spacing w:after="0"/>
            </w:pPr>
            <w:r>
              <w:rPr>
                <w:b/>
                <w:bCs/>
                <w:i w:val="false"/>
                <w:iCs w:val="false"/>
                <w:color w:val="FFFFFF"/>
                <w:sz w:val="18"/>
                <w:szCs w:val="18"/>
              </w:rPr>
              <w:t xml:space="preserve">Field</w:t>
            </w:r>
          </w:p>
        </w:tc>
        <w:tc>
          <w:tcPr>
            <w:tcW w:type="dxa" w:w="1000"/>
            <w:shd w:fill="1F3864" w:val="clear"/>
            <w:tcMar>
              <w:top w:type="dxa" w:w="70"/>
              <w:left w:type="dxa" w:w="110"/>
              <w:bottom w:type="dxa" w:w="70"/>
              <w:right w:type="dxa" w:w="110"/>
            </w:tcMar>
          </w:tcPr>
          <w:p>
            <w:pPr>
              <w:spacing w:after="0"/>
            </w:pPr>
            <w:r>
              <w:rPr>
                <w:b/>
                <w:bCs/>
                <w:i w:val="false"/>
                <w:iCs w:val="false"/>
                <w:color w:val="FFFFFF"/>
                <w:sz w:val="18"/>
                <w:szCs w:val="18"/>
              </w:rPr>
              <w:t xml:space="preserve">Type</w:t>
            </w:r>
          </w:p>
        </w:tc>
        <w:tc>
          <w:tcPr>
            <w:tcW w:type="dxa" w:w="620"/>
            <w:shd w:fill="1F3864" w:val="clear"/>
            <w:tcMar>
              <w:top w:type="dxa" w:w="70"/>
              <w:left w:type="dxa" w:w="110"/>
              <w:bottom w:type="dxa" w:w="70"/>
              <w:right w:type="dxa" w:w="110"/>
            </w:tcMar>
          </w:tcPr>
          <w:p>
            <w:pPr>
              <w:spacing w:after="0"/>
            </w:pPr>
            <w:r>
              <w:rPr>
                <w:b/>
                <w:bCs/>
                <w:i w:val="false"/>
                <w:iCs w:val="false"/>
                <w:color w:val="FFFFFF"/>
                <w:sz w:val="18"/>
                <w:szCs w:val="18"/>
              </w:rPr>
              <w:t xml:space="preserve">Req.</w:t>
            </w:r>
          </w:p>
        </w:tc>
        <w:tc>
          <w:tcPr>
            <w:tcW w:type="dxa" w:w="2100"/>
            <w:shd w:fill="1F3864" w:val="clear"/>
            <w:tcMar>
              <w:top w:type="dxa" w:w="70"/>
              <w:left w:type="dxa" w:w="110"/>
              <w:bottom w:type="dxa" w:w="70"/>
              <w:right w:type="dxa" w:w="110"/>
            </w:tcMar>
          </w:tcPr>
          <w:p>
            <w:pPr>
              <w:spacing w:after="0"/>
            </w:pPr>
            <w:r>
              <w:rPr>
                <w:b/>
                <w:bCs/>
                <w:i w:val="false"/>
                <w:iCs w:val="false"/>
                <w:color w:val="FFFFFF"/>
                <w:sz w:val="18"/>
                <w:szCs w:val="18"/>
              </w:rPr>
              <w:t xml:space="preserve">Accepted values / format</w:t>
            </w:r>
          </w:p>
        </w:tc>
        <w:tc>
          <w:tcPr>
            <w:tcW w:type="dxa" w:w="2440"/>
            <w:shd w:fill="1F3864" w:val="clear"/>
            <w:tcMar>
              <w:top w:type="dxa" w:w="70"/>
              <w:left w:type="dxa" w:w="110"/>
              <w:bottom w:type="dxa" w:w="70"/>
              <w:right w:type="dxa" w:w="110"/>
            </w:tcMar>
          </w:tcPr>
          <w:p>
            <w:pPr>
              <w:spacing w:after="0"/>
            </w:pPr>
            <w:r>
              <w:rPr>
                <w:b/>
                <w:bCs/>
                <w:i w:val="false"/>
                <w:iCs w:val="false"/>
                <w:color w:val="FFFFFF"/>
                <w:sz w:val="18"/>
                <w:szCs w:val="18"/>
              </w:rPr>
              <w:t xml:space="preserve">Validation &amp; limits</w:t>
            </w:r>
          </w:p>
        </w:tc>
        <w:tc>
          <w:tcPr>
            <w:tcW w:type="dxa" w:w="1350"/>
            <w:shd w:fill="1F3864" w:val="clear"/>
            <w:tcMar>
              <w:top w:type="dxa" w:w="70"/>
              <w:left w:type="dxa" w:w="110"/>
              <w:bottom w:type="dxa" w:w="70"/>
              <w:right w:type="dxa" w:w="110"/>
            </w:tcMar>
          </w:tcPr>
          <w:p>
            <w:pPr>
              <w:spacing w:after="0"/>
            </w:pPr>
            <w:r>
              <w:rPr>
                <w:b/>
                <w:bCs/>
                <w:i w:val="false"/>
                <w:iCs w:val="false"/>
                <w:color w:val="FFFFFF"/>
                <w:sz w:val="18"/>
                <w:szCs w:val="18"/>
              </w:rPr>
              <w:t xml:space="preserve">Default</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Maintenance capex (one per forecast year)</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Amount</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plain annual figure.</w:t>
            </w:r>
          </w:p>
        </w:tc>
        <w:tc>
          <w:tcPr>
            <w:tcW w:type="dxa" w:w="2440"/>
            <w:shd w:fill="FFFFFF" w:val="clear"/>
            <w:tcMar>
              <w:top w:type="dxa" w:w="70"/>
              <w:left w:type="dxa" w:w="110"/>
              <w:bottom w:type="dxa" w:w="70"/>
              <w:right w:type="dxa" w:w="110"/>
            </w:tcMar>
          </w:tcPr>
          <w:p>
            <w:pPr>
              <w:spacing w:after="40"/>
            </w:pPr>
            <w:r>
              <w:rPr>
                <w:b w:val="false"/>
                <w:bCs w:val="false"/>
                <w:i w:val="false"/>
                <w:iCs w:val="false"/>
                <w:color w:val="000000"/>
                <w:sz w:val="18"/>
                <w:szCs w:val="18"/>
              </w:rPr>
              <w:t xml:space="preserve">Tolerant number parser: commas, spaces and underscores stripped; (400) = −400; unreadable text becomes 0. No min/max.</w:t>
            </w:r>
          </w:p>
          <w:p>
            <w:pPr>
              <w:spacing w:after="0"/>
            </w:pPr>
            <w:r>
              <w:rPr>
                <w:b w:val="false"/>
                <w:bCs w:val="false"/>
                <w:i w:val="false"/>
                <w:iCs w:val="false"/>
                <w:color w:val="000000"/>
                <w:sz w:val="18"/>
                <w:szCs w:val="18"/>
              </w:rPr>
              <w:t xml:space="preserve">Absent from the POST keeps the stored value. Depreciated using the step-2 "unclassified capex" life.</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How many (assets)</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Number (page control)</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An integer.</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Clamped to 0–60. Reloads as /inputs/9?assets=N.</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Number saved</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Asset name</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Text</w:t>
            </w:r>
          </w:p>
        </w:tc>
        <w:tc>
          <w:tcPr>
            <w:tcW w:type="dxa" w:w="620"/>
            <w:shd w:fill="FFFFFF" w:val="clear"/>
            <w:tcMar>
              <w:top w:type="dxa" w:w="70"/>
              <w:left w:type="dxa" w:w="110"/>
              <w:bottom w:type="dxa" w:w="70"/>
              <w:right w:type="dxa" w:w="110"/>
            </w:tcMar>
          </w:tcPr>
          <w:p>
            <w:pPr>
              <w:spacing w:after="0"/>
            </w:pPr>
            <w:r>
              <w:rPr>
                <w:b/>
                <w:bCs/>
                <w:i w:val="false"/>
                <w:iCs w:val="false"/>
                <w:color w:val="000000"/>
                <w:sz w:val="18"/>
                <w:szCs w:val="18"/>
              </w:rPr>
              <w:t xml:space="preserve">Yes, per row</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Free text.</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Trimmed. A blank name drops the row from the save.</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Empty</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Belongs to initiative</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Standalone, or one of the model's initiatives.</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An initiative id that no longer exists falls back to standalone rather than pointing at nothing.</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Standalone</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IFRS class</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One of the 14 classes above.</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Unknown key falls back to "Other assets". Choosing a class auto-fills the standard life in the browser.</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Plant &amp; machinery</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Amount</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Amount</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cost of the addition.</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Tolerant number parser: commas, spaces and underscores stripped; (400) = −400; unreadable text becomes 0. No min/max.</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Period</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 of forecast years</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year the spend falls in.</w:t>
            </w:r>
          </w:p>
        </w:tc>
        <w:tc>
          <w:tcPr>
            <w:tcW w:type="dxa" w:w="2440"/>
            <w:shd w:fill="FFFFFF" w:val="clear"/>
            <w:tcMar>
              <w:top w:type="dxa" w:w="70"/>
              <w:left w:type="dxa" w:w="110"/>
              <w:bottom w:type="dxa" w:w="70"/>
              <w:right w:type="dxa" w:w="110"/>
            </w:tcMar>
          </w:tcPr>
          <w:p>
            <w:pPr>
              <w:spacing w:after="40"/>
            </w:pPr>
            <w:r>
              <w:rPr>
                <w:b w:val="false"/>
                <w:bCs w:val="false"/>
                <w:i w:val="false"/>
                <w:iCs w:val="false"/>
                <w:color w:val="000000"/>
                <w:sz w:val="18"/>
                <w:szCs w:val="18"/>
              </w:rPr>
              <w:t xml:space="preserve">Parsed as an integer, 0 on failure.</w:t>
            </w:r>
          </w:p>
          <w:p>
            <w:pPr>
              <w:spacing w:after="0"/>
            </w:pPr>
            <w:r>
              <w:rPr>
                <w:b w:val="false"/>
                <w:bCs w:val="false"/>
                <w:i w:val="false"/>
                <w:iCs w:val="false"/>
                <w:color w:val="000000"/>
                <w:sz w:val="18"/>
                <w:szCs w:val="18"/>
              </w:rPr>
              <w:t xml:space="preserve">Assets whose period is outside the forecast horizon are ignored by the engine.</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First year</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Useful life</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Number (years)</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Years.</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Blank or 0 falls back to the class's standard life.</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Class default</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Rate method</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Derived from useful life / Explicit override.</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On "useful life" the rate is recomputed as 1 ÷ life at save time, so a stale override cannot survive a change of class or life. On "explicit" the typed rate is stored as given.</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Useful life</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Depreciation rate</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Percentage</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Whole percentage.</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Disabled in the browser unless rate method is "explicit". Recomputed server-side on the useful-life method regardless of what is posted.</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1 ÷ life</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Residual %</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Percentage</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Whole percentage of cost not to be depreciated.</w:t>
            </w:r>
          </w:p>
        </w:tc>
        <w:tc>
          <w:tcPr>
            <w:tcW w:type="dxa" w:w="2440"/>
            <w:shd w:fill="FFFFFF" w:val="clear"/>
            <w:tcMar>
              <w:top w:type="dxa" w:w="70"/>
              <w:left w:type="dxa" w:w="110"/>
              <w:bottom w:type="dxa" w:w="70"/>
              <w:right w:type="dxa" w:w="110"/>
            </w:tcMar>
          </w:tcPr>
          <w:p>
            <w:pPr>
              <w:spacing w:after="40"/>
            </w:pPr>
            <w:r>
              <w:rPr>
                <w:b w:val="false"/>
                <w:bCs w:val="false"/>
                <w:i w:val="false"/>
                <w:iCs w:val="false"/>
                <w:color w:val="000000"/>
                <w:sz w:val="18"/>
                <w:szCs w:val="18"/>
              </w:rPr>
              <w:t xml:space="preserve">Typed as a whole percentage (7.5 → 0.075). Unreadable becomes 0. No min/max — negatives and values over 100 are accepted.</w:t>
            </w:r>
          </w:p>
          <w:p>
            <w:pPr>
              <w:spacing w:after="0"/>
            </w:pPr>
            <w:r>
              <w:rPr>
                <w:b w:val="false"/>
                <w:bCs w:val="false"/>
                <w:i w:val="false"/>
                <w:iCs w:val="false"/>
                <w:color w:val="000000"/>
                <w:sz w:val="18"/>
                <w:szCs w:val="18"/>
              </w:rPr>
              <w:t xml:space="preserve">Depreciation is capped so an asset can never be written below its residual value.</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r>
    </w:tbl>
    <w:p>
      <w:pPr>
        <w:spacing w:after="80"/>
      </w:pPr>
    </w:p>
    <w:p>
      <w:pPr>
        <w:pStyle w:val="Heading3"/>
        <w:spacing w:after="100" w:before="220"/>
      </w:pPr>
      <w:r>
        <w:t xml:space="preserve">The reconciliation panel</w:t>
      </w:r>
    </w:p>
    <w:p>
      <w:pPr>
        <w:spacing w:after="120"/>
      </w:pPr>
      <w:r>
        <w:rPr>
          <w:b w:val="false"/>
          <w:bCs w:val="false"/>
          <w:i w:val="false"/>
          <w:iCs w:val="false"/>
          <w:sz w:val="20"/>
          <w:szCs w:val="20"/>
        </w:rPr>
        <w:t xml:space="preserve">Capex can be described twice for the same initiative — once as a P&amp;L line on step 8, once as itemised assets here. The panel shows which route is in force for each initiative:</w:t>
      </w:r>
    </w:p>
    <w:p>
      <w:pPr>
        <w:pStyle w:val="ListParagraph"/>
        <w:numPr>
          <w:ilvl w:val="0"/>
          <w:numId w:val="3"/>
        </w:numPr>
        <w:spacing w:after="60"/>
      </w:pPr>
      <w:r>
        <w:rPr>
          <w:sz w:val="20"/>
          <w:szCs w:val="20"/>
        </w:rPr>
        <w:t xml:space="preserve">If the initiative has ANY itemised asset with a positive amount, the itemised assets win and the step-8 capex line is ignored entirely for that initiative. The panel marks it "supersedes".</w:t>
      </w:r>
    </w:p>
    <w:p>
      <w:pPr>
        <w:pStyle w:val="ListParagraph"/>
        <w:numPr>
          <w:ilvl w:val="0"/>
          <w:numId w:val="3"/>
        </w:numPr>
        <w:spacing w:after="60"/>
      </w:pPr>
      <w:r>
        <w:rPr>
          <w:sz w:val="20"/>
          <w:szCs w:val="20"/>
        </w:rPr>
        <w:t xml:space="preserve">Otherwise the step-8 line is used, capitalised in the initiative's own class and life.</w:t>
      </w:r>
    </w:p>
    <w:p>
      <w:pPr>
        <w:pStyle w:val="ListParagraph"/>
        <w:numPr>
          <w:ilvl w:val="0"/>
          <w:numId w:val="3"/>
        </w:numPr>
        <w:spacing w:after="60"/>
      </w:pPr>
      <w:r>
        <w:rPr>
          <w:sz w:val="20"/>
          <w:szCs w:val="20"/>
        </w:rPr>
        <w:t xml:space="preserve">The counted figure is one or the other — never the sum. This prevents the same spend being capitalised twice.</w:t>
      </w:r>
    </w:p>
    <w:p>
      <w:pPr>
        <w:spacing w:after="80"/>
      </w:pPr>
    </w:p>
    <w:p>
      <w:pPr>
        <w:pStyle w:val="Heading3"/>
        <w:spacing w:after="100" w:before="220"/>
      </w:pPr>
      <w:r>
        <w:t xml:space="preserve">The depreciation preview table</w:t>
      </w:r>
    </w:p>
    <w:p>
      <w:pPr>
        <w:spacing w:after="120"/>
      </w:pPr>
      <w:r>
        <w:rPr>
          <w:b w:val="false"/>
          <w:bCs w:val="false"/>
          <w:i w:val="false"/>
          <w:iCs w:val="false"/>
          <w:sz w:val="20"/>
          <w:szCs w:val="20"/>
        </w:rPr>
        <w:t xml:space="preserve">A per-asset schedule is drawn on screen so the consequence of a class or life choice is visible without leaving the page.</w:t>
      </w:r>
    </w:p>
    <w:tbl>
      <w:tblPr>
        <w:tblW w:type="dxa" w:w="9360"/>
        <w:tblBorders>
          <w:top w:val="single" w:color="D5DEE8" w:sz="2"/>
          <w:left w:val="single" w:color="D48806" w:sz="12"/>
          <w:bottom w:val="single" w:color="D5DEE8" w:sz="2"/>
          <w:right w:val="single" w:color="D5DEE8" w:sz="2"/>
          <w:insideH w:val="none"/>
          <w:insideV w:val="none"/>
        </w:tblBorders>
      </w:tblPr>
      <w:tblGrid>
        <w:gridCol w:w="9360"/>
      </w:tblGrid>
      <w:tr>
        <w:tc>
          <w:tcPr>
            <w:tcW w:type="dxa" w:w="9360"/>
            <w:shd w:fill="FFF4E0" w:val="clear"/>
            <w:tcMar>
              <w:top w:type="dxa" w:w="120"/>
              <w:left w:type="dxa" w:w="180"/>
              <w:bottom w:type="dxa" w:w="120"/>
              <w:right w:type="dxa" w:w="180"/>
            </w:tcMar>
          </w:tcPr>
          <w:p>
            <w:pPr>
              <w:spacing w:after="60"/>
            </w:pPr>
            <w:r>
              <w:rPr>
                <w:b/>
                <w:bCs/>
                <w:color w:val="1F3864"/>
                <w:sz w:val="20"/>
                <w:szCs w:val="20"/>
              </w:rPr>
              <w:t xml:space="preserve">The preview does not honour the first-year convention</w:t>
            </w:r>
          </w:p>
          <w:p>
            <w:pPr>
              <w:spacing w:after="60"/>
            </w:pPr>
            <w:r>
              <w:rPr>
                <w:sz w:val="19"/>
                <w:szCs w:val="19"/>
              </w:rPr>
              <w:t xml:space="preserve">The on-screen preview always halves the first-year charge (a fixed 0.5), while the engine uses the model's own "First-year convention" from step 2.</w:t>
            </w:r>
          </w:p>
          <w:p>
            <w:pPr>
              <w:spacing w:after="0"/>
            </w:pPr>
            <w:r>
              <w:rPr>
                <w:sz w:val="19"/>
                <w:szCs w:val="19"/>
              </w:rPr>
              <w:t xml:space="preserve">If that setting is anything other than 0.5, the preview on step 9 will not match the depreciation on the outputs. Test with the convention set to 1.0 to see the divergence.</w:t>
            </w:r>
          </w:p>
        </w:tc>
      </w:tr>
    </w:tbl>
    <w:p>
      <w:pPr>
        <w:spacing w:after="80"/>
      </w:pPr>
    </w:p>
    <w:p>
      <w:pPr>
        <w:pStyle w:val="ListParagraph"/>
        <w:numPr>
          <w:ilvl w:val="0"/>
          <w:numId w:val="3"/>
        </w:numPr>
        <w:spacing w:after="60"/>
      </w:pPr>
      <w:r>
        <w:rPr>
          <w:sz w:val="20"/>
          <w:szCs w:val="20"/>
        </w:rPr>
        <w:t xml:space="preserve">Saving replaces the whole asset register (replaceAll), so asset ids change on every save.</w:t>
      </w:r>
    </w:p>
    <w:p>
      <w:pPr>
        <w:pStyle w:val="ListParagraph"/>
        <w:numPr>
          <w:ilvl w:val="0"/>
          <w:numId w:val="3"/>
        </w:numPr>
        <w:spacing w:after="60"/>
      </w:pPr>
      <w:r>
        <w:rPr>
          <w:sz w:val="20"/>
          <w:szCs w:val="20"/>
        </w:rPr>
        <w:t xml:space="preserve">Maintenance capex shares its database row with inflation (step 2) and working capital (step 3); saving here preserves both.</w:t>
      </w:r>
    </w:p>
    <w:p>
      <w:pPr>
        <w:spacing w:after="120"/>
      </w:pPr>
    </w:p>
    <w:p>
      <w:pPr>
        <w:pStyle w:val="Heading2"/>
        <w:spacing w:after="120" w:before="280"/>
      </w:pPr>
      <w:r>
        <w:t xml:space="preserve">2.15  Input step 10 — Opening balance sheet  —  /inputs/10</w:t>
      </w:r>
    </w:p>
    <w:p>
      <w:pPr>
        <w:spacing w:after="120"/>
      </w:pPr>
      <w:r>
        <w:rPr>
          <w:b w:val="false"/>
          <w:bCs w:val="false"/>
          <w:i w:val="false"/>
          <w:iCs w:val="false"/>
          <w:sz w:val="20"/>
          <w:szCs w:val="20"/>
        </w:rPr>
        <w:t xml:space="preserve">Purpose: the company's complete position at the end of the last actual year. Every forecast balance-sheet line rolls forward from a line here. This is the single most important input screen — if it does not balance, nothing downstream is reliable.</w:t>
      </w:r>
    </w:p>
    <w:p>
      <w:pPr>
        <w:spacing w:after="120"/>
      </w:pPr>
      <w:r>
        <w:rPr>
          <w:b w:val="false"/>
          <w:bCs w:val="false"/>
          <w:i w:val="false"/>
          <w:iCs w:val="false"/>
          <w:sz w:val="20"/>
          <w:szCs w:val="20"/>
        </w:rPr>
        <w:t xml:space="preserve">Presented as an aligned statement with live subtotals and a running balance check, not a grid of loose fields. All 17 fields use the same tolerant number parser; none is individually required; every one defaults to 0.</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200"/>
        <w:gridCol w:w="3200"/>
        <w:gridCol w:w="4960"/>
      </w:tblGrid>
      <w:tr>
        <w:trPr>
          <w:tblHeader/>
        </w:trPr>
        <w:tc>
          <w:tcPr>
            <w:tcW w:type="dxa" w:w="1200"/>
            <w:shd w:fill="1F3864" w:val="clear"/>
            <w:tcMar>
              <w:top w:type="dxa" w:w="70"/>
              <w:left w:type="dxa" w:w="110"/>
              <w:bottom w:type="dxa" w:w="70"/>
              <w:right w:type="dxa" w:w="110"/>
            </w:tcMar>
          </w:tcPr>
          <w:p>
            <w:pPr>
              <w:spacing w:after="0"/>
            </w:pPr>
            <w:r>
              <w:rPr>
                <w:b/>
                <w:bCs/>
                <w:i w:val="false"/>
                <w:iCs w:val="false"/>
                <w:color w:val="FFFFFF"/>
                <w:sz w:val="18"/>
                <w:szCs w:val="18"/>
              </w:rPr>
              <w:t xml:space="preserve">Section</w:t>
            </w:r>
          </w:p>
        </w:tc>
        <w:tc>
          <w:tcPr>
            <w:tcW w:type="dxa" w:w="3200"/>
            <w:shd w:fill="1F3864" w:val="clear"/>
            <w:tcMar>
              <w:top w:type="dxa" w:w="70"/>
              <w:left w:type="dxa" w:w="110"/>
              <w:bottom w:type="dxa" w:w="70"/>
              <w:right w:type="dxa" w:w="110"/>
            </w:tcMar>
          </w:tcPr>
          <w:p>
            <w:pPr>
              <w:spacing w:after="0"/>
            </w:pPr>
            <w:r>
              <w:rPr>
                <w:b/>
                <w:bCs/>
                <w:i w:val="false"/>
                <w:iCs w:val="false"/>
                <w:color w:val="FFFFFF"/>
                <w:sz w:val="18"/>
                <w:szCs w:val="18"/>
              </w:rPr>
              <w:t xml:space="preserve">Field</w:t>
            </w:r>
          </w:p>
        </w:tc>
        <w:tc>
          <w:tcPr>
            <w:tcW w:type="dxa" w:w="4960"/>
            <w:shd w:fill="1F3864" w:val="clear"/>
            <w:tcMar>
              <w:top w:type="dxa" w:w="70"/>
              <w:left w:type="dxa" w:w="110"/>
              <w:bottom w:type="dxa" w:w="70"/>
              <w:right w:type="dxa" w:w="110"/>
            </w:tcMar>
          </w:tcPr>
          <w:p>
            <w:pPr>
              <w:spacing w:after="0"/>
            </w:pPr>
            <w:r>
              <w:rPr>
                <w:b/>
                <w:bCs/>
                <w:i w:val="false"/>
                <w:iCs w:val="false"/>
                <w:color w:val="FFFFFF"/>
                <w:sz w:val="18"/>
                <w:szCs w:val="18"/>
              </w:rPr>
              <w:t xml:space="preserve">Notes</w:t>
            </w:r>
          </w:p>
        </w:tc>
      </w:tr>
      <w:tr>
        <w:tc>
          <w:tcPr>
            <w:tcW w:type="dxa" w:w="1200"/>
            <w:shd w:fill="FFFFFF" w:val="clear"/>
            <w:tcMar>
              <w:top w:type="dxa" w:w="70"/>
              <w:left w:type="dxa" w:w="110"/>
              <w:bottom w:type="dxa" w:w="70"/>
              <w:right w:type="dxa" w:w="110"/>
            </w:tcMar>
          </w:tcPr>
          <w:p>
            <w:pPr>
              <w:spacing w:after="0"/>
            </w:pPr>
            <w:r>
              <w:rPr>
                <w:b/>
                <w:bCs/>
                <w:i w:val="false"/>
                <w:iCs w:val="false"/>
                <w:color w:val="000000"/>
                <w:sz w:val="18"/>
                <w:szCs w:val="18"/>
              </w:rPr>
              <w:t xml:space="preserve">Assets</w:t>
            </w:r>
          </w:p>
        </w:tc>
        <w:tc>
          <w:tcPr>
            <w:tcW w:type="dxa" w:w="3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Cash &amp; cash equivalents</w:t>
            </w:r>
          </w:p>
        </w:tc>
        <w:tc>
          <w:tcPr>
            <w:tcW w:type="dxa" w:w="4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Opening cash; the base of the whole cash roll-forward.</w:t>
            </w:r>
          </w:p>
        </w:tc>
      </w:tr>
      <w:tr>
        <w:tc>
          <w:tcPr>
            <w:tcW w:type="dxa" w:w="1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
            </w:r>
          </w:p>
        </w:tc>
        <w:tc>
          <w:tcPr>
            <w:tcW w:type="dxa" w:w="3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Trade receivables</w:t>
            </w:r>
          </w:p>
        </w:tc>
        <w:tc>
          <w:tcPr>
            <w:tcW w:type="dxa" w:w="49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Replaced in year 1 by the AR days calculation.</w:t>
            </w:r>
          </w:p>
        </w:tc>
      </w:tr>
      <w:tr>
        <w:tc>
          <w:tcPr>
            <w:tcW w:type="dxa" w:w="1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
            </w:r>
          </w:p>
        </w:tc>
        <w:tc>
          <w:tcPr>
            <w:tcW w:type="dxa" w:w="3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Inventory</w:t>
            </w:r>
          </w:p>
        </w:tc>
        <w:tc>
          <w:tcPr>
            <w:tcW w:type="dxa" w:w="4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Replaced in year 1 by the inventory days calculation.</w:t>
            </w:r>
          </w:p>
        </w:tc>
      </w:tr>
      <w:tr>
        <w:tc>
          <w:tcPr>
            <w:tcW w:type="dxa" w:w="1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
            </w:r>
          </w:p>
        </w:tc>
        <w:tc>
          <w:tcPr>
            <w:tcW w:type="dxa" w:w="3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Other current assets</w:t>
            </w:r>
          </w:p>
        </w:tc>
        <w:tc>
          <w:tcPr>
            <w:tcW w:type="dxa" w:w="49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Prepayments, deposits, other debtors.</w:t>
            </w:r>
          </w:p>
        </w:tc>
      </w:tr>
      <w:tr>
        <w:tc>
          <w:tcPr>
            <w:tcW w:type="dxa" w:w="1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
            </w:r>
          </w:p>
        </w:tc>
        <w:tc>
          <w:tcPr>
            <w:tcW w:type="dxa" w:w="3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Property, plant &amp; equipment — at cost</w:t>
            </w:r>
          </w:p>
        </w:tc>
        <w:tc>
          <w:tcPr>
            <w:tcW w:type="dxa" w:w="4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Gross cost.</w:t>
            </w:r>
          </w:p>
        </w:tc>
      </w:tr>
      <w:tr>
        <w:tc>
          <w:tcPr>
            <w:tcW w:type="dxa" w:w="1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
            </w:r>
          </w:p>
        </w:tc>
        <w:tc>
          <w:tcPr>
            <w:tcW w:type="dxa" w:w="3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Less: accumulated depreciation</w:t>
            </w:r>
          </w:p>
        </w:tc>
        <w:tc>
          <w:tcPr>
            <w:tcW w:type="dxa" w:w="4960"/>
            <w:shd w:fill="F7F9FC" w:val="clear"/>
            <w:tcMar>
              <w:top w:type="dxa" w:w="70"/>
              <w:left w:type="dxa" w:w="110"/>
              <w:bottom w:type="dxa" w:w="70"/>
              <w:right w:type="dxa" w:w="110"/>
            </w:tcMar>
          </w:tcPr>
          <w:p>
            <w:pPr>
              <w:spacing w:after="40"/>
            </w:pPr>
            <w:r>
              <w:rPr>
                <w:b w:val="false"/>
                <w:bCs w:val="false"/>
                <w:i w:val="false"/>
                <w:iCs w:val="false"/>
                <w:color w:val="000000"/>
                <w:sz w:val="18"/>
                <w:szCs w:val="18"/>
              </w:rPr>
              <w:t xml:space="preserve">Entered as a POSITIVE figure; the page deducts it.</w:t>
            </w:r>
          </w:p>
          <w:p>
            <w:pPr>
              <w:spacing w:after="0"/>
            </w:pPr>
            <w:r>
              <w:rPr>
                <w:b w:val="false"/>
                <w:bCs w:val="false"/>
                <w:i w:val="false"/>
                <w:iCs w:val="false"/>
                <w:color w:val="000000"/>
                <w:sz w:val="18"/>
                <w:szCs w:val="18"/>
              </w:rPr>
              <w:t xml:space="preserve">Net PP&amp;E = cost − this. Getting the sign wrong here is the most common way to unbalance the sheet.</w:t>
            </w:r>
          </w:p>
        </w:tc>
      </w:tr>
      <w:tr>
        <w:tc>
          <w:tcPr>
            <w:tcW w:type="dxa" w:w="1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
            </w:r>
          </w:p>
        </w:tc>
        <w:tc>
          <w:tcPr>
            <w:tcW w:type="dxa" w:w="3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Intangible assets</w:t>
            </w:r>
          </w:p>
        </w:tc>
        <w:tc>
          <w:tcPr>
            <w:tcW w:type="dxa" w:w="4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Held flat across the whole forecast — never amortised and never added to. See U11.</w:t>
            </w:r>
          </w:p>
        </w:tc>
      </w:tr>
      <w:tr>
        <w:tc>
          <w:tcPr>
            <w:tcW w:type="dxa" w:w="1200"/>
            <w:shd w:fill="F7F9FC" w:val="clear"/>
            <w:tcMar>
              <w:top w:type="dxa" w:w="70"/>
              <w:left w:type="dxa" w:w="110"/>
              <w:bottom w:type="dxa" w:w="70"/>
              <w:right w:type="dxa" w:w="110"/>
            </w:tcMar>
          </w:tcPr>
          <w:p>
            <w:pPr>
              <w:spacing w:after="0"/>
            </w:pPr>
            <w:r>
              <w:rPr>
                <w:b/>
                <w:bCs/>
                <w:i w:val="false"/>
                <w:iCs w:val="false"/>
                <w:color w:val="000000"/>
                <w:sz w:val="18"/>
                <w:szCs w:val="18"/>
              </w:rPr>
              <w:t xml:space="preserve">Liabilities</w:t>
            </w:r>
          </w:p>
        </w:tc>
        <w:tc>
          <w:tcPr>
            <w:tcW w:type="dxa" w:w="3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Trade payables</w:t>
            </w:r>
          </w:p>
        </w:tc>
        <w:tc>
          <w:tcPr>
            <w:tcW w:type="dxa" w:w="49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Replaced in year 1 by the AP days calculation.</w:t>
            </w:r>
          </w:p>
        </w:tc>
      </w:tr>
      <w:tr>
        <w:tc>
          <w:tcPr>
            <w:tcW w:type="dxa" w:w="1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
            </w:r>
          </w:p>
        </w:tc>
        <w:tc>
          <w:tcPr>
            <w:tcW w:type="dxa" w:w="3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Accruals</w:t>
            </w:r>
          </w:p>
        </w:tc>
        <w:tc>
          <w:tcPr>
            <w:tcW w:type="dxa" w:w="4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Replaced in year 1 by the accrual days calculation.</w:t>
            </w:r>
          </w:p>
        </w:tc>
      </w:tr>
      <w:tr>
        <w:tc>
          <w:tcPr>
            <w:tcW w:type="dxa" w:w="1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
            </w:r>
          </w:p>
        </w:tc>
        <w:tc>
          <w:tcPr>
            <w:tcW w:type="dxa" w:w="3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Zakat &amp; tax payable</w:t>
            </w:r>
          </w:p>
        </w:tc>
        <w:tc>
          <w:tcPr>
            <w:tcW w:type="dxa" w:w="49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Prior-year assessment still to settle. Paid in forecast year 1.</w:t>
            </w:r>
          </w:p>
        </w:tc>
      </w:tr>
      <w:tr>
        <w:tc>
          <w:tcPr>
            <w:tcW w:type="dxa" w:w="1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
            </w:r>
          </w:p>
        </w:tc>
        <w:tc>
          <w:tcPr>
            <w:tcW w:type="dxa" w:w="3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Other current liabilities</w:t>
            </w:r>
          </w:p>
        </w:tc>
        <w:tc>
          <w:tcPr>
            <w:tcW w:type="dxa" w:w="4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Replaced in year 1 by the step-3 figure.</w:t>
            </w:r>
          </w:p>
        </w:tc>
      </w:tr>
      <w:tr>
        <w:tc>
          <w:tcPr>
            <w:tcW w:type="dxa" w:w="1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
            </w:r>
          </w:p>
        </w:tc>
        <w:tc>
          <w:tcPr>
            <w:tcW w:type="dxa" w:w="3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Short-term debt</w:t>
            </w:r>
          </w:p>
        </w:tc>
        <w:tc>
          <w:tcPr>
            <w:tcW w:type="dxa" w:w="49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TOTAL current borrowings including any revolver drawing. Anything above the named short-term facilities becomes the opening revolver.</w:t>
            </w:r>
          </w:p>
        </w:tc>
      </w:tr>
      <w:tr>
        <w:tc>
          <w:tcPr>
            <w:tcW w:type="dxa" w:w="1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
            </w:r>
          </w:p>
        </w:tc>
        <w:tc>
          <w:tcPr>
            <w:tcW w:type="dxa" w:w="3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Long-term debt</w:t>
            </w:r>
          </w:p>
        </w:tc>
        <w:tc>
          <w:tcPr>
            <w:tcW w:type="dxa" w:w="4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TOTAL non-current borrowings. Anything above the named long-term facilities becomes unallocated term debt.</w:t>
            </w:r>
          </w:p>
        </w:tc>
      </w:tr>
      <w:tr>
        <w:tc>
          <w:tcPr>
            <w:tcW w:type="dxa" w:w="1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
            </w:r>
          </w:p>
        </w:tc>
        <w:tc>
          <w:tcPr>
            <w:tcW w:type="dxa" w:w="3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Provisions &amp; employee benefits</w:t>
            </w:r>
          </w:p>
        </w:tc>
        <w:tc>
          <w:tcPr>
            <w:tcW w:type="dxa" w:w="49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authoritative opening provision balance — this, not the sum of the named provisions on step 7.</w:t>
            </w:r>
          </w:p>
        </w:tc>
      </w:tr>
      <w:tr>
        <w:tc>
          <w:tcPr>
            <w:tcW w:type="dxa" w:w="1200"/>
            <w:shd w:fill="FFFFFF" w:val="clear"/>
            <w:tcMar>
              <w:top w:type="dxa" w:w="70"/>
              <w:left w:type="dxa" w:w="110"/>
              <w:bottom w:type="dxa" w:w="70"/>
              <w:right w:type="dxa" w:w="110"/>
            </w:tcMar>
          </w:tcPr>
          <w:p>
            <w:pPr>
              <w:spacing w:after="0"/>
            </w:pPr>
            <w:r>
              <w:rPr>
                <w:b/>
                <w:bCs/>
                <w:i w:val="false"/>
                <w:iCs w:val="false"/>
                <w:color w:val="000000"/>
                <w:sz w:val="18"/>
                <w:szCs w:val="18"/>
              </w:rPr>
              <w:t xml:space="preserve">Equity</w:t>
            </w:r>
          </w:p>
        </w:tc>
        <w:tc>
          <w:tcPr>
            <w:tcW w:type="dxa" w:w="3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Share capital</w:t>
            </w:r>
          </w:p>
        </w:tc>
        <w:tc>
          <w:tcPr>
            <w:tcW w:type="dxa" w:w="4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Held constant across the whole forecast.</w:t>
            </w:r>
          </w:p>
        </w:tc>
      </w:tr>
      <w:tr>
        <w:tc>
          <w:tcPr>
            <w:tcW w:type="dxa" w:w="1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
            </w:r>
          </w:p>
        </w:tc>
        <w:tc>
          <w:tcPr>
            <w:tcW w:type="dxa" w:w="3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Statutory reserve</w:t>
            </w:r>
          </w:p>
        </w:tc>
        <w:tc>
          <w:tcPr>
            <w:tcW w:type="dxa" w:w="49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Grows by the reserve transfer each year.</w:t>
            </w:r>
          </w:p>
        </w:tc>
      </w:tr>
      <w:tr>
        <w:tc>
          <w:tcPr>
            <w:tcW w:type="dxa" w:w="1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
            </w:r>
          </w:p>
        </w:tc>
        <w:tc>
          <w:tcPr>
            <w:tcW w:type="dxa" w:w="3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Retained earnings</w:t>
            </w:r>
          </w:p>
        </w:tc>
        <w:tc>
          <w:tcPr>
            <w:tcW w:type="dxa" w:w="4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Grows by net profit less dividends less reserve transfer each year.</w:t>
            </w:r>
          </w:p>
        </w:tc>
      </w:tr>
    </w:tbl>
    <w:p>
      <w:pPr>
        <w:spacing w:after="80"/>
      </w:pPr>
    </w:p>
    <w:p>
      <w:pPr>
        <w:pStyle w:val="Heading3"/>
        <w:spacing w:after="100" w:before="220"/>
      </w:pPr>
      <w:r>
        <w:t xml:space="preserve">The balance check</w:t>
      </w:r>
    </w:p>
    <w:p>
      <w:pPr>
        <w:shd w:fill="F7F9FC" w:val="clear"/>
        <w:spacing w:after="120" w:before="40"/>
        <w:ind w:left="260"/>
      </w:pPr>
      <w:r>
        <w:rPr>
          <w:rFonts w:ascii="Consolas" w:cs="Consolas" w:eastAsia="Consolas" w:hAnsi="Consolas"/>
          <w:sz w:val="18"/>
          <w:szCs w:val="18"/>
        </w:rPr>
        <w:t xml:space="preserve">Assets       = cash + receivables + inventory + other CA + (PP&amp;E cost − accum. dep.) + intangibles</w:t>
      </w:r>
    </w:p>
    <w:p>
      <w:pPr>
        <w:shd w:fill="F7F9FC" w:val="clear"/>
        <w:spacing w:after="120" w:before="40"/>
        <w:ind w:left="260"/>
      </w:pPr>
      <w:r>
        <w:rPr>
          <w:rFonts w:ascii="Consolas" w:cs="Consolas" w:eastAsia="Consolas" w:hAnsi="Consolas"/>
          <w:sz w:val="18"/>
          <w:szCs w:val="18"/>
        </w:rPr>
        <w:t xml:space="preserve">Liab+Equity  = payables + accruals + zakat payable + other CL + ST debt + LT debt + provisions</w:t>
      </w:r>
    </w:p>
    <w:p>
      <w:pPr>
        <w:shd w:fill="F7F9FC" w:val="clear"/>
        <w:spacing w:after="120" w:before="40"/>
        <w:ind w:left="260"/>
      </w:pPr>
      <w:r>
        <w:rPr>
          <w:rFonts w:ascii="Consolas" w:cs="Consolas" w:eastAsia="Consolas" w:hAnsi="Consolas"/>
          <w:sz w:val="18"/>
          <w:szCs w:val="18"/>
        </w:rPr>
        <w:t xml:space="preserve">               + share capital + statutory reserve + retained earnings</w:t>
      </w:r>
    </w:p>
    <w:p>
      <w:pPr>
        <w:shd w:fill="F7F9FC" w:val="clear"/>
        <w:spacing w:after="120" w:before="40"/>
        <w:ind w:left="260"/>
      </w:pPr>
      <w:r>
        <w:rPr>
          <w:rFonts w:ascii="Consolas" w:cs="Consolas" w:eastAsia="Consolas" w:hAnsi="Consolas"/>
          <w:sz w:val="18"/>
          <w:szCs w:val="18"/>
        </w:rPr>
        <w:t xml:space="preserve">Difference   = Liab+Equity − Assets      →  balanced when |Difference| ≤ 0.50</w:t>
      </w:r>
    </w:p>
    <w:p>
      <w:pPr>
        <w:spacing w:after="8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800"/>
        <w:gridCol w:w="7560"/>
      </w:tblGrid>
      <w:tr>
        <w:trPr>
          <w:tblHeader/>
        </w:trPr>
        <w:tc>
          <w:tcPr>
            <w:tcW w:type="dxa" w:w="1800"/>
            <w:shd w:fill="1F3864" w:val="clear"/>
            <w:tcMar>
              <w:top w:type="dxa" w:w="70"/>
              <w:left w:type="dxa" w:w="110"/>
              <w:bottom w:type="dxa" w:w="70"/>
              <w:right w:type="dxa" w:w="110"/>
            </w:tcMar>
          </w:tcPr>
          <w:p>
            <w:pPr>
              <w:spacing w:after="0"/>
            </w:pPr>
            <w:r>
              <w:rPr>
                <w:b/>
                <w:bCs/>
                <w:i w:val="false"/>
                <w:iCs w:val="false"/>
                <w:color w:val="FFFFFF"/>
                <w:sz w:val="18"/>
                <w:szCs w:val="18"/>
              </w:rPr>
              <w:t xml:space="preserve">State</w:t>
            </w:r>
          </w:p>
        </w:tc>
        <w:tc>
          <w:tcPr>
            <w:tcW w:type="dxa" w:w="7560"/>
            <w:shd w:fill="1F3864" w:val="clear"/>
            <w:tcMar>
              <w:top w:type="dxa" w:w="70"/>
              <w:left w:type="dxa" w:w="110"/>
              <w:bottom w:type="dxa" w:w="70"/>
              <w:right w:type="dxa" w:w="110"/>
            </w:tcMar>
          </w:tcPr>
          <w:p>
            <w:pPr>
              <w:spacing w:after="0"/>
            </w:pPr>
            <w:r>
              <w:rPr>
                <w:b/>
                <w:bCs/>
                <w:i w:val="false"/>
                <w:iCs w:val="false"/>
                <w:color w:val="FFFFFF"/>
                <w:sz w:val="18"/>
                <w:szCs w:val="18"/>
              </w:rPr>
              <w:t xml:space="preserve">What is shown</w:t>
            </w:r>
          </w:p>
        </w:tc>
      </w:tr>
      <w:tr>
        <w:tc>
          <w:tcPr>
            <w:tcW w:type="dxa" w:w="18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Balanced</w:t>
            </w:r>
          </w:p>
        </w:tc>
        <w:tc>
          <w:tcPr>
            <w:tcW w:type="dxa" w:w="75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Green banner: "Opening position balances", with both totals. Followed by a note that every forecast year will therefore balance too.</w:t>
            </w:r>
          </w:p>
        </w:tc>
      </w:tr>
      <w:tr>
        <w:tc>
          <w:tcPr>
            <w:tcW w:type="dxa" w:w="18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Out of balance</w:t>
            </w:r>
          </w:p>
        </w:tc>
        <w:tc>
          <w:tcPr>
            <w:tcW w:type="dxa" w:w="75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Red banner showing both totals and the wording "Correct this before relying on any output: the forecast rolls forward from this position, so the difference would carry into every year and no statement would tie out."</w:t>
            </w:r>
          </w:p>
        </w:tc>
      </w:tr>
    </w:tbl>
    <w:p>
      <w:pPr>
        <w:spacing w:after="80"/>
      </w:pPr>
    </w:p>
    <w:p>
      <w:pPr>
        <w:spacing w:after="120"/>
      </w:pPr>
      <w:r>
        <w:rPr>
          <w:b w:val="false"/>
          <w:bCs w:val="false"/>
          <w:i w:val="false"/>
          <w:iCs w:val="false"/>
          <w:sz w:val="20"/>
          <w:szCs w:val="20"/>
        </w:rPr>
        <w:t xml:space="preserve">This step also displays all four integrity checks for the whole model, because everything they test has just been entered and a failure is one step away from its fix. The final button is "Save &amp; calculate", which saves and jumps to the Dashboard.</w:t>
      </w:r>
    </w:p>
    <w:p>
      <w:pPr>
        <w:spacing w:after="120"/>
      </w:pPr>
      <w:r>
        <w:rPr>
          <w:b w:val="false"/>
          <w:bCs w:val="false"/>
          <w:i w:val="false"/>
          <w:iCs w:val="false"/>
          <w:sz w:val="20"/>
          <w:szCs w:val="20"/>
        </w:rPr>
        <w:t xml:space="preserve">The subtotal figures update live in the browser as you type; the authoritative check is recomputed on the server on save and on every page load.</w:t>
      </w:r>
    </w:p>
    <w:p>
      <w:pPr>
        <w:spacing w:after="120"/>
      </w:pPr>
    </w:p>
    <w:p>
      <w:pPr>
        <w:pStyle w:val="Heading2"/>
        <w:spacing w:after="120" w:before="280"/>
      </w:pPr>
      <w:r>
        <w:t xml:space="preserve">2.16  Outputs — shared behaviour on all ten screens</w:t>
      </w:r>
    </w:p>
    <w:p>
      <w:pPr>
        <w:spacing w:after="120"/>
      </w:pPr>
      <w:r>
        <w:rPr>
          <w:b w:val="false"/>
          <w:bCs w:val="false"/>
          <w:i w:val="false"/>
          <w:iCs w:val="false"/>
          <w:sz w:val="20"/>
          <w:szCs w:val="20"/>
        </w:rPr>
        <w:t xml:space="preserve">Every output screen has the same tab strip and the same control bar. None of them has data-entry fields except the optional "add a row" dialog.</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850"/>
        <w:gridCol w:w="1000"/>
        <w:gridCol w:w="620"/>
        <w:gridCol w:w="2100"/>
        <w:gridCol w:w="2440"/>
        <w:gridCol w:w="1350"/>
      </w:tblGrid>
      <w:tr>
        <w:trPr>
          <w:tblHeader/>
        </w:trPr>
        <w:tc>
          <w:tcPr>
            <w:tcW w:type="dxa" w:w="1850"/>
            <w:shd w:fill="1F3864" w:val="clear"/>
            <w:tcMar>
              <w:top w:type="dxa" w:w="70"/>
              <w:left w:type="dxa" w:w="110"/>
              <w:bottom w:type="dxa" w:w="70"/>
              <w:right w:type="dxa" w:w="110"/>
            </w:tcMar>
          </w:tcPr>
          <w:p>
            <w:pPr>
              <w:spacing w:after="0"/>
            </w:pPr>
            <w:r>
              <w:rPr>
                <w:b/>
                <w:bCs/>
                <w:i w:val="false"/>
                <w:iCs w:val="false"/>
                <w:color w:val="FFFFFF"/>
                <w:sz w:val="18"/>
                <w:szCs w:val="18"/>
              </w:rPr>
              <w:t xml:space="preserve">Field</w:t>
            </w:r>
          </w:p>
        </w:tc>
        <w:tc>
          <w:tcPr>
            <w:tcW w:type="dxa" w:w="1000"/>
            <w:shd w:fill="1F3864" w:val="clear"/>
            <w:tcMar>
              <w:top w:type="dxa" w:w="70"/>
              <w:left w:type="dxa" w:w="110"/>
              <w:bottom w:type="dxa" w:w="70"/>
              <w:right w:type="dxa" w:w="110"/>
            </w:tcMar>
          </w:tcPr>
          <w:p>
            <w:pPr>
              <w:spacing w:after="0"/>
            </w:pPr>
            <w:r>
              <w:rPr>
                <w:b/>
                <w:bCs/>
                <w:i w:val="false"/>
                <w:iCs w:val="false"/>
                <w:color w:val="FFFFFF"/>
                <w:sz w:val="18"/>
                <w:szCs w:val="18"/>
              </w:rPr>
              <w:t xml:space="preserve">Type</w:t>
            </w:r>
          </w:p>
        </w:tc>
        <w:tc>
          <w:tcPr>
            <w:tcW w:type="dxa" w:w="620"/>
            <w:shd w:fill="1F3864" w:val="clear"/>
            <w:tcMar>
              <w:top w:type="dxa" w:w="70"/>
              <w:left w:type="dxa" w:w="110"/>
              <w:bottom w:type="dxa" w:w="70"/>
              <w:right w:type="dxa" w:w="110"/>
            </w:tcMar>
          </w:tcPr>
          <w:p>
            <w:pPr>
              <w:spacing w:after="0"/>
            </w:pPr>
            <w:r>
              <w:rPr>
                <w:b/>
                <w:bCs/>
                <w:i w:val="false"/>
                <w:iCs w:val="false"/>
                <w:color w:val="FFFFFF"/>
                <w:sz w:val="18"/>
                <w:szCs w:val="18"/>
              </w:rPr>
              <w:t xml:space="preserve">Req.</w:t>
            </w:r>
          </w:p>
        </w:tc>
        <w:tc>
          <w:tcPr>
            <w:tcW w:type="dxa" w:w="2100"/>
            <w:shd w:fill="1F3864" w:val="clear"/>
            <w:tcMar>
              <w:top w:type="dxa" w:w="70"/>
              <w:left w:type="dxa" w:w="110"/>
              <w:bottom w:type="dxa" w:w="70"/>
              <w:right w:type="dxa" w:w="110"/>
            </w:tcMar>
          </w:tcPr>
          <w:p>
            <w:pPr>
              <w:spacing w:after="0"/>
            </w:pPr>
            <w:r>
              <w:rPr>
                <w:b/>
                <w:bCs/>
                <w:i w:val="false"/>
                <w:iCs w:val="false"/>
                <w:color w:val="FFFFFF"/>
                <w:sz w:val="18"/>
                <w:szCs w:val="18"/>
              </w:rPr>
              <w:t xml:space="preserve">Accepted values / format</w:t>
            </w:r>
          </w:p>
        </w:tc>
        <w:tc>
          <w:tcPr>
            <w:tcW w:type="dxa" w:w="2440"/>
            <w:shd w:fill="1F3864" w:val="clear"/>
            <w:tcMar>
              <w:top w:type="dxa" w:w="70"/>
              <w:left w:type="dxa" w:w="110"/>
              <w:bottom w:type="dxa" w:w="70"/>
              <w:right w:type="dxa" w:w="110"/>
            </w:tcMar>
          </w:tcPr>
          <w:p>
            <w:pPr>
              <w:spacing w:after="0"/>
            </w:pPr>
            <w:r>
              <w:rPr>
                <w:b/>
                <w:bCs/>
                <w:i w:val="false"/>
                <w:iCs w:val="false"/>
                <w:color w:val="FFFFFF"/>
                <w:sz w:val="18"/>
                <w:szCs w:val="18"/>
              </w:rPr>
              <w:t xml:space="preserve">Validation &amp; limits</w:t>
            </w:r>
          </w:p>
        </w:tc>
        <w:tc>
          <w:tcPr>
            <w:tcW w:type="dxa" w:w="1350"/>
            <w:shd w:fill="1F3864" w:val="clear"/>
            <w:tcMar>
              <w:top w:type="dxa" w:w="70"/>
              <w:left w:type="dxa" w:w="110"/>
              <w:bottom w:type="dxa" w:w="70"/>
              <w:right w:type="dxa" w:w="110"/>
            </w:tcMar>
          </w:tcPr>
          <w:p>
            <w:pPr>
              <w:spacing w:after="0"/>
            </w:pPr>
            <w:r>
              <w:rPr>
                <w:b/>
                <w:bCs/>
                <w:i w:val="false"/>
                <w:iCs w:val="false"/>
                <w:color w:val="FFFFFF"/>
                <w:sz w:val="18"/>
                <w:szCs w:val="18"/>
              </w:rPr>
              <w:t xml:space="preserve">Default</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Scenario</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 (auto-submits)</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Best case / Base case / Worst case.</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Passed as ?scenario=. Anything invalid falls back to the model's own default scenario. Not persisted — it is a URL parameter only.</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model's default scenario</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View (segment)</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 (auto-submits)</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"Total — all N units", or one business unit.</w:t>
            </w:r>
          </w:p>
        </w:tc>
        <w:tc>
          <w:tcPr>
            <w:tcW w:type="dxa" w:w="2440"/>
            <w:shd w:fill="F7F9FC" w:val="clear"/>
            <w:tcMar>
              <w:top w:type="dxa" w:w="70"/>
              <w:left w:type="dxa" w:w="110"/>
              <w:bottom w:type="dxa" w:w="70"/>
              <w:right w:type="dxa" w:w="110"/>
            </w:tcMar>
          </w:tcPr>
          <w:p>
            <w:pPr>
              <w:spacing w:after="40"/>
            </w:pPr>
            <w:r>
              <w:rPr>
                <w:b w:val="false"/>
                <w:bCs w:val="false"/>
                <w:i w:val="false"/>
                <w:iCs w:val="false"/>
                <w:color w:val="000000"/>
                <w:sz w:val="18"/>
                <w:szCs w:val="18"/>
              </w:rPr>
              <w:t xml:space="preserve">Only offered on the Income statement and Ratios. Every other screen shows a fixed "Total — group" badge.</w:t>
            </w:r>
          </w:p>
          <w:p>
            <w:pPr>
              <w:spacing w:after="0"/>
            </w:pPr>
            <w:r>
              <w:rPr>
                <w:b w:val="false"/>
                <w:bCs w:val="false"/>
                <w:i w:val="false"/>
                <w:iCs w:val="false"/>
                <w:color w:val="000000"/>
                <w:sz w:val="18"/>
                <w:szCs w:val="18"/>
              </w:rPr>
              <w:t xml:space="preserve">A unit name that does not exist falls back to the model default, then to Total.</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model's default segment</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Presentation currency (top bar)</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 (auto-submits)</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One of the 15 currency codes.</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Held in the SESSION, not on the model — two people can read the same model in different currencies at once.</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model's own currency</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Integrity badge</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Read-only</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"Balanced &amp; reconciled" or "Check failed".</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Reflects checks.allPass: opening balances AND every year balances AND cash ties AND debt reconciles.</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w:t>
            </w:r>
          </w:p>
        </w:tc>
      </w:tr>
    </w:tbl>
    <w:p>
      <w:pPr>
        <w:spacing w:after="8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900"/>
        <w:gridCol w:w="3430"/>
        <w:gridCol w:w="4030"/>
      </w:tblGrid>
      <w:tr>
        <w:trPr>
          <w:tblHeader/>
        </w:trPr>
        <w:tc>
          <w:tcPr>
            <w:tcW w:type="dxa" w:w="1900"/>
            <w:shd w:fill="1F3864" w:val="clear"/>
            <w:tcMar>
              <w:top w:type="dxa" w:w="70"/>
              <w:left w:type="dxa" w:w="110"/>
              <w:bottom w:type="dxa" w:w="70"/>
              <w:right w:type="dxa" w:w="110"/>
            </w:tcMar>
          </w:tcPr>
          <w:p>
            <w:pPr>
              <w:spacing w:after="0"/>
            </w:pPr>
            <w:r>
              <w:rPr>
                <w:b/>
                <w:bCs/>
                <w:i w:val="false"/>
                <w:iCs w:val="false"/>
                <w:color w:val="FFFFFF"/>
                <w:sz w:val="18"/>
                <w:szCs w:val="18"/>
              </w:rPr>
              <w:t xml:space="preserve">Control</w:t>
            </w:r>
          </w:p>
        </w:tc>
        <w:tc>
          <w:tcPr>
            <w:tcW w:type="dxa" w:w="3430"/>
            <w:shd w:fill="1F3864" w:val="clear"/>
            <w:tcMar>
              <w:top w:type="dxa" w:w="70"/>
              <w:left w:type="dxa" w:w="110"/>
              <w:bottom w:type="dxa" w:w="70"/>
              <w:right w:type="dxa" w:w="110"/>
            </w:tcMar>
          </w:tcPr>
          <w:p>
            <w:pPr>
              <w:spacing w:after="0"/>
            </w:pPr>
            <w:r>
              <w:rPr>
                <w:b/>
                <w:bCs/>
                <w:i w:val="false"/>
                <w:iCs w:val="false"/>
                <w:color w:val="FFFFFF"/>
                <w:sz w:val="18"/>
                <w:szCs w:val="18"/>
              </w:rPr>
              <w:t xml:space="preserve">What it does</w:t>
            </w:r>
          </w:p>
        </w:tc>
        <w:tc>
          <w:tcPr>
            <w:tcW w:type="dxa" w:w="4030"/>
            <w:shd w:fill="1F3864" w:val="clear"/>
            <w:tcMar>
              <w:top w:type="dxa" w:w="70"/>
              <w:left w:type="dxa" w:w="110"/>
              <w:bottom w:type="dxa" w:w="70"/>
              <w:right w:type="dxa" w:w="110"/>
            </w:tcMar>
          </w:tcPr>
          <w:p>
            <w:pPr>
              <w:spacing w:after="0"/>
            </w:pPr>
            <w:r>
              <w:rPr>
                <w:b/>
                <w:bCs/>
                <w:i w:val="false"/>
                <w:iCs w:val="false"/>
                <w:color w:val="FFFFFF"/>
                <w:sz w:val="18"/>
                <w:szCs w:val="18"/>
              </w:rPr>
              <w:t xml:space="preserve">Expected result</w:t>
            </w:r>
          </w:p>
        </w:tc>
      </w:tr>
      <w:tr>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Download CSV</w:t>
            </w:r>
          </w:p>
        </w:tc>
        <w:tc>
          <w:tcPr>
            <w:tcW w:type="dxa" w:w="34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Exports the current statement.</w:t>
            </w:r>
          </w:p>
        </w:tc>
        <w:tc>
          <w:tcPr>
            <w:tcW w:type="dxa" w:w="40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Offered on Income statement, Cash flow, Balance sheet and Ratios only. Filename is "&lt;statement&gt;-&lt;scenario&gt;.csv". Amounts are exported in the presentation currency at 2 decimal places; ratios are never translated.</w:t>
            </w:r>
          </w:p>
        </w:tc>
      </w:tr>
      <w:tr>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Interpret this table</w:t>
            </w:r>
          </w:p>
        </w:tc>
        <w:tc>
          <w:tcPr>
            <w:tcW w:type="dxa" w:w="34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Shows written commentary under the table.</w:t>
            </w:r>
          </w:p>
        </w:tc>
        <w:tc>
          <w:tcPr>
            <w:tcW w:type="dxa" w:w="40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Deterministic by default — the same figures always produce the same sentences. If an AI key is configured it calls the provider instead and falls back to the deterministic writer on any failure, timeout or bad response, telling the reader which they are looking at.</w:t>
            </w:r>
          </w:p>
        </w:tc>
      </w:tr>
      <w:tr>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Print</w:t>
            </w:r>
          </w:p>
        </w:tc>
        <w:tc>
          <w:tcPr>
            <w:tcW w:type="dxa" w:w="34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Calls the browser print dialog.</w:t>
            </w:r>
          </w:p>
        </w:tc>
        <w:tc>
          <w:tcPr>
            <w:tcW w:type="dxa" w:w="40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print stylesheet is applied.</w:t>
            </w:r>
          </w:p>
        </w:tc>
      </w:tr>
      <w:tr>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 / pencil / bin icons beside a subtotal</w:t>
            </w:r>
          </w:p>
        </w:tc>
        <w:tc>
          <w:tcPr>
            <w:tcW w:type="dxa" w:w="34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Add, edit or delete a user-defined statement row.</w:t>
            </w:r>
          </w:p>
        </w:tc>
        <w:tc>
          <w:tcPr>
            <w:tcW w:type="dxa" w:w="40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Only shown where the statement supports it AND the user can edit AND the model is not closed.</w:t>
            </w:r>
          </w:p>
        </w:tc>
      </w:tr>
    </w:tbl>
    <w:p>
      <w:pPr>
        <w:spacing w:after="80"/>
      </w:pPr>
    </w:p>
    <w:p>
      <w:pPr>
        <w:pStyle w:val="Heading3"/>
        <w:spacing w:after="100" w:before="220"/>
      </w:pPr>
      <w:r>
        <w:t xml:space="preserve">Banners that appear above the tables</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100"/>
        <w:gridCol w:w="2400"/>
        <w:gridCol w:w="4860"/>
      </w:tblGrid>
      <w:tr>
        <w:trPr>
          <w:tblHeader/>
        </w:trPr>
        <w:tc>
          <w:tcPr>
            <w:tcW w:type="dxa" w:w="2100"/>
            <w:shd w:fill="1F3864" w:val="clear"/>
            <w:tcMar>
              <w:top w:type="dxa" w:w="70"/>
              <w:left w:type="dxa" w:w="110"/>
              <w:bottom w:type="dxa" w:w="70"/>
              <w:right w:type="dxa" w:w="110"/>
            </w:tcMar>
          </w:tcPr>
          <w:p>
            <w:pPr>
              <w:spacing w:after="0"/>
            </w:pPr>
            <w:r>
              <w:rPr>
                <w:b/>
                <w:bCs/>
                <w:i w:val="false"/>
                <w:iCs w:val="false"/>
                <w:color w:val="FFFFFF"/>
                <w:sz w:val="18"/>
                <w:szCs w:val="18"/>
              </w:rPr>
              <w:t xml:space="preserve">Banner</w:t>
            </w:r>
          </w:p>
        </w:tc>
        <w:tc>
          <w:tcPr>
            <w:tcW w:type="dxa" w:w="2400"/>
            <w:shd w:fill="1F3864" w:val="clear"/>
            <w:tcMar>
              <w:top w:type="dxa" w:w="70"/>
              <w:left w:type="dxa" w:w="110"/>
              <w:bottom w:type="dxa" w:w="70"/>
              <w:right w:type="dxa" w:w="110"/>
            </w:tcMar>
          </w:tcPr>
          <w:p>
            <w:pPr>
              <w:spacing w:after="0"/>
            </w:pPr>
            <w:r>
              <w:rPr>
                <w:b/>
                <w:bCs/>
                <w:i w:val="false"/>
                <w:iCs w:val="false"/>
                <w:color w:val="FFFFFF"/>
                <w:sz w:val="18"/>
                <w:szCs w:val="18"/>
              </w:rPr>
              <w:t xml:space="preserve">When it appears</w:t>
            </w:r>
          </w:p>
        </w:tc>
        <w:tc>
          <w:tcPr>
            <w:tcW w:type="dxa" w:w="4860"/>
            <w:shd w:fill="1F3864" w:val="clear"/>
            <w:tcMar>
              <w:top w:type="dxa" w:w="70"/>
              <w:left w:type="dxa" w:w="110"/>
              <w:bottom w:type="dxa" w:w="70"/>
              <w:right w:type="dxa" w:w="110"/>
            </w:tcMar>
          </w:tcPr>
          <w:p>
            <w:pPr>
              <w:spacing w:after="0"/>
            </w:pPr>
            <w:r>
              <w:rPr>
                <w:b/>
                <w:bCs/>
                <w:i w:val="false"/>
                <w:iCs w:val="false"/>
                <w:color w:val="FFFFFF"/>
                <w:sz w:val="18"/>
                <w:szCs w:val="18"/>
              </w:rPr>
              <w:t xml:space="preserve">What it says</w:t>
            </w:r>
          </w:p>
        </w:tc>
      </w:tr>
      <w:tr>
        <w:tc>
          <w:tcPr>
            <w:tcW w:type="dxa" w:w="2100"/>
            <w:shd w:fill="FFFFFF" w:val="clear"/>
            <w:tcMar>
              <w:top w:type="dxa" w:w="70"/>
              <w:left w:type="dxa" w:w="110"/>
              <w:bottom w:type="dxa" w:w="70"/>
              <w:right w:type="dxa" w:w="110"/>
            </w:tcMar>
          </w:tcPr>
          <w:p>
            <w:pPr>
              <w:spacing w:after="0"/>
            </w:pPr>
            <w:r>
              <w:rPr>
                <w:b/>
                <w:bCs/>
                <w:i w:val="false"/>
                <w:iCs w:val="false"/>
                <w:color w:val="000000"/>
                <w:sz w:val="18"/>
                <w:szCs w:val="18"/>
              </w:rPr>
              <w:t xml:space="preserve">Red — does not tie out</w:t>
            </w:r>
          </w:p>
        </w:tc>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Any integrity check fails.</w:t>
            </w:r>
          </w:p>
        </w:tc>
        <w:tc>
          <w:tcPr>
            <w:tcW w:type="dxa" w:w="48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Names the specific cause: the opening balance sheet is out by X, or the debt reconciliation message, or the per-year balance check figures. Links to the fixing step for users who can see inputs.</w:t>
            </w:r>
          </w:p>
        </w:tc>
      </w:tr>
      <w:tr>
        <w:tc>
          <w:tcPr>
            <w:tcW w:type="dxa" w:w="2100"/>
            <w:shd w:fill="F7F9FC" w:val="clear"/>
            <w:tcMar>
              <w:top w:type="dxa" w:w="70"/>
              <w:left w:type="dxa" w:w="110"/>
              <w:bottom w:type="dxa" w:w="70"/>
              <w:right w:type="dxa" w:w="110"/>
            </w:tcMar>
          </w:tcPr>
          <w:p>
            <w:pPr>
              <w:spacing w:after="0"/>
            </w:pPr>
            <w:r>
              <w:rPr>
                <w:b/>
                <w:bCs/>
                <w:i w:val="false"/>
                <w:iCs w:val="false"/>
                <w:color w:val="000000"/>
                <w:sz w:val="18"/>
                <w:szCs w:val="18"/>
              </w:rPr>
              <w:t xml:space="preserve">Yellow — missing actuals</w:t>
            </w:r>
          </w:p>
        </w:tc>
        <w:tc>
          <w:tcPr>
            <w:tcW w:type="dxa" w:w="2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 closed year has no non-zero data.</w:t>
            </w:r>
          </w:p>
        </w:tc>
        <w:tc>
          <w:tcPr>
            <w:tcW w:type="dxa" w:w="48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 actuals recorded for 2023 (A) … Those years are treated as zero, which drags the base the forecast grows from."</w:t>
            </w:r>
          </w:p>
        </w:tc>
      </w:tr>
      <w:tr>
        <w:tc>
          <w:tcPr>
            <w:tcW w:type="dxa" w:w="2100"/>
            <w:shd w:fill="FFFFFF" w:val="clear"/>
            <w:tcMar>
              <w:top w:type="dxa" w:w="70"/>
              <w:left w:type="dxa" w:w="110"/>
              <w:bottom w:type="dxa" w:w="70"/>
              <w:right w:type="dxa" w:w="110"/>
            </w:tcMar>
          </w:tcPr>
          <w:p>
            <w:pPr>
              <w:spacing w:after="0"/>
            </w:pPr>
            <w:r>
              <w:rPr>
                <w:b/>
                <w:bCs/>
                <w:i w:val="false"/>
                <w:iCs w:val="false"/>
                <w:color w:val="000000"/>
                <w:sz w:val="18"/>
                <w:szCs w:val="18"/>
              </w:rPr>
              <w:t xml:space="preserve">Blue — business unit view</w:t>
            </w:r>
          </w:p>
        </w:tc>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single unit is selected.</w:t>
            </w:r>
          </w:p>
        </w:tc>
        <w:tc>
          <w:tcPr>
            <w:tcW w:type="dxa" w:w="48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Explains that everything to EBIT is the unit's own and everything below is the group figure allocated at N% (its share of last-actual-year revenue), and that the cash flow and balance sheet are group-only.</w:t>
            </w:r>
          </w:p>
        </w:tc>
      </w:tr>
    </w:tbl>
    <w:p>
      <w:pPr>
        <w:spacing w:after="80"/>
      </w:pPr>
    </w:p>
    <w:tbl>
      <w:tblPr>
        <w:tblW w:type="dxa" w:w="9360"/>
        <w:tblBorders>
          <w:top w:val="single" w:color="D5DEE8" w:sz="2"/>
          <w:left w:val="single" w:color="C0392B" w:sz="12"/>
          <w:bottom w:val="single" w:color="D5DEE8" w:sz="2"/>
          <w:right w:val="single" w:color="D5DEE8" w:sz="2"/>
          <w:insideH w:val="none"/>
          <w:insideV w:val="none"/>
        </w:tblBorders>
      </w:tblPr>
      <w:tblGrid>
        <w:gridCol w:w="9360"/>
      </w:tblGrid>
      <w:tr>
        <w:tc>
          <w:tcPr>
            <w:tcW w:type="dxa" w:w="9360"/>
            <w:shd w:fill="FDECEC" w:val="clear"/>
            <w:tcMar>
              <w:top w:type="dxa" w:w="120"/>
              <w:left w:type="dxa" w:w="180"/>
              <w:bottom w:type="dxa" w:w="120"/>
              <w:right w:type="dxa" w:w="180"/>
            </w:tcMar>
          </w:tcPr>
          <w:p>
            <w:pPr>
              <w:spacing w:after="60"/>
            </w:pPr>
            <w:r>
              <w:rPr>
                <w:b/>
                <w:bCs/>
                <w:color w:val="1F3864"/>
                <w:sz w:val="20"/>
                <w:szCs w:val="20"/>
              </w:rPr>
              <w:t xml:space="preserve">DEFECT D6 — the red banner links to the wrong step</w:t>
            </w:r>
          </w:p>
          <w:p>
            <w:pPr>
              <w:spacing w:after="60"/>
            </w:pPr>
            <w:r>
              <w:rPr>
                <w:sz w:val="19"/>
                <w:szCs w:val="19"/>
              </w:rPr>
              <w:t xml:space="preserve">When the debt reconciliation fails, the banner offers a "Debt &amp; financing" link pointing at /inputs/8 — which is Strategic initiatives. Debt &amp; financing is /inputs/7.</w:t>
            </w:r>
          </w:p>
          <w:p>
            <w:pPr>
              <w:spacing w:after="0"/>
            </w:pPr>
            <w:r>
              <w:rPr>
                <w:sz w:val="19"/>
                <w:szCs w:val="19"/>
              </w:rPr>
              <w:t xml:space="preserve">The companion "opening balance sheet" link (/inputs/10) is correct.</w:t>
            </w:r>
          </w:p>
        </w:tc>
      </w:tr>
    </w:tbl>
    <w:p>
      <w:pPr>
        <w:spacing w:after="120"/>
      </w:pPr>
    </w:p>
    <w:p>
      <w:pPr>
        <w:pStyle w:val="Heading2"/>
        <w:spacing w:after="120" w:before="280"/>
      </w:pPr>
      <w:r>
        <w:t xml:space="preserve">2.17  User-added statement rows</w:t>
      </w:r>
    </w:p>
    <w:p>
      <w:pPr>
        <w:spacing w:after="120"/>
      </w:pPr>
      <w:r>
        <w:rPr>
          <w:b w:val="false"/>
          <w:bCs w:val="false"/>
          <w:i w:val="false"/>
          <w:iCs w:val="false"/>
          <w:sz w:val="20"/>
          <w:szCs w:val="20"/>
        </w:rPr>
        <w:t xml:space="preserve">A reader can insert a line the standard structure has no place for — a one-off charge, a lease the plan does not model, a grant — directly above a chosen subtotal, and the subtotal then includes it.</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850"/>
        <w:gridCol w:w="1000"/>
        <w:gridCol w:w="620"/>
        <w:gridCol w:w="2100"/>
        <w:gridCol w:w="2440"/>
        <w:gridCol w:w="1350"/>
      </w:tblGrid>
      <w:tr>
        <w:trPr>
          <w:tblHeader/>
        </w:trPr>
        <w:tc>
          <w:tcPr>
            <w:tcW w:type="dxa" w:w="1850"/>
            <w:shd w:fill="1F3864" w:val="clear"/>
            <w:tcMar>
              <w:top w:type="dxa" w:w="70"/>
              <w:left w:type="dxa" w:w="110"/>
              <w:bottom w:type="dxa" w:w="70"/>
              <w:right w:type="dxa" w:w="110"/>
            </w:tcMar>
          </w:tcPr>
          <w:p>
            <w:pPr>
              <w:spacing w:after="0"/>
            </w:pPr>
            <w:r>
              <w:rPr>
                <w:b/>
                <w:bCs/>
                <w:i w:val="false"/>
                <w:iCs w:val="false"/>
                <w:color w:val="FFFFFF"/>
                <w:sz w:val="18"/>
                <w:szCs w:val="18"/>
              </w:rPr>
              <w:t xml:space="preserve">Field</w:t>
            </w:r>
          </w:p>
        </w:tc>
        <w:tc>
          <w:tcPr>
            <w:tcW w:type="dxa" w:w="1000"/>
            <w:shd w:fill="1F3864" w:val="clear"/>
            <w:tcMar>
              <w:top w:type="dxa" w:w="70"/>
              <w:left w:type="dxa" w:w="110"/>
              <w:bottom w:type="dxa" w:w="70"/>
              <w:right w:type="dxa" w:w="110"/>
            </w:tcMar>
          </w:tcPr>
          <w:p>
            <w:pPr>
              <w:spacing w:after="0"/>
            </w:pPr>
            <w:r>
              <w:rPr>
                <w:b/>
                <w:bCs/>
                <w:i w:val="false"/>
                <w:iCs w:val="false"/>
                <w:color w:val="FFFFFF"/>
                <w:sz w:val="18"/>
                <w:szCs w:val="18"/>
              </w:rPr>
              <w:t xml:space="preserve">Type</w:t>
            </w:r>
          </w:p>
        </w:tc>
        <w:tc>
          <w:tcPr>
            <w:tcW w:type="dxa" w:w="620"/>
            <w:shd w:fill="1F3864" w:val="clear"/>
            <w:tcMar>
              <w:top w:type="dxa" w:w="70"/>
              <w:left w:type="dxa" w:w="110"/>
              <w:bottom w:type="dxa" w:w="70"/>
              <w:right w:type="dxa" w:w="110"/>
            </w:tcMar>
          </w:tcPr>
          <w:p>
            <w:pPr>
              <w:spacing w:after="0"/>
            </w:pPr>
            <w:r>
              <w:rPr>
                <w:b/>
                <w:bCs/>
                <w:i w:val="false"/>
                <w:iCs w:val="false"/>
                <w:color w:val="FFFFFF"/>
                <w:sz w:val="18"/>
                <w:szCs w:val="18"/>
              </w:rPr>
              <w:t xml:space="preserve">Req.</w:t>
            </w:r>
          </w:p>
        </w:tc>
        <w:tc>
          <w:tcPr>
            <w:tcW w:type="dxa" w:w="2100"/>
            <w:shd w:fill="1F3864" w:val="clear"/>
            <w:tcMar>
              <w:top w:type="dxa" w:w="70"/>
              <w:left w:type="dxa" w:w="110"/>
              <w:bottom w:type="dxa" w:w="70"/>
              <w:right w:type="dxa" w:w="110"/>
            </w:tcMar>
          </w:tcPr>
          <w:p>
            <w:pPr>
              <w:spacing w:after="0"/>
            </w:pPr>
            <w:r>
              <w:rPr>
                <w:b/>
                <w:bCs/>
                <w:i w:val="false"/>
                <w:iCs w:val="false"/>
                <w:color w:val="FFFFFF"/>
                <w:sz w:val="18"/>
                <w:szCs w:val="18"/>
              </w:rPr>
              <w:t xml:space="preserve">Accepted values / format</w:t>
            </w:r>
          </w:p>
        </w:tc>
        <w:tc>
          <w:tcPr>
            <w:tcW w:type="dxa" w:w="2440"/>
            <w:shd w:fill="1F3864" w:val="clear"/>
            <w:tcMar>
              <w:top w:type="dxa" w:w="70"/>
              <w:left w:type="dxa" w:w="110"/>
              <w:bottom w:type="dxa" w:w="70"/>
              <w:right w:type="dxa" w:w="110"/>
            </w:tcMar>
          </w:tcPr>
          <w:p>
            <w:pPr>
              <w:spacing w:after="0"/>
            </w:pPr>
            <w:r>
              <w:rPr>
                <w:b/>
                <w:bCs/>
                <w:i w:val="false"/>
                <w:iCs w:val="false"/>
                <w:color w:val="FFFFFF"/>
                <w:sz w:val="18"/>
                <w:szCs w:val="18"/>
              </w:rPr>
              <w:t xml:space="preserve">Validation &amp; limits</w:t>
            </w:r>
          </w:p>
        </w:tc>
        <w:tc>
          <w:tcPr>
            <w:tcW w:type="dxa" w:w="1350"/>
            <w:shd w:fill="1F3864" w:val="clear"/>
            <w:tcMar>
              <w:top w:type="dxa" w:w="70"/>
              <w:left w:type="dxa" w:w="110"/>
              <w:bottom w:type="dxa" w:w="70"/>
              <w:right w:type="dxa" w:w="110"/>
            </w:tcMar>
          </w:tcPr>
          <w:p>
            <w:pPr>
              <w:spacing w:after="0"/>
            </w:pPr>
            <w:r>
              <w:rPr>
                <w:b/>
                <w:bCs/>
                <w:i w:val="false"/>
                <w:iCs w:val="false"/>
                <w:color w:val="FFFFFF"/>
                <w:sz w:val="18"/>
                <w:szCs w:val="18"/>
              </w:rPr>
              <w:t xml:space="preserve">Default</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Row name</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Text</w:t>
            </w:r>
          </w:p>
        </w:tc>
        <w:tc>
          <w:tcPr>
            <w:tcW w:type="dxa" w:w="620"/>
            <w:shd w:fill="FFFFFF" w:val="clear"/>
            <w:tcMar>
              <w:top w:type="dxa" w:w="70"/>
              <w:left w:type="dxa" w:w="110"/>
              <w:bottom w:type="dxa" w:w="70"/>
              <w:right w:type="dxa" w:w="110"/>
            </w:tcMar>
          </w:tcPr>
          <w:p>
            <w:pPr>
              <w:spacing w:after="0"/>
            </w:pPr>
            <w:r>
              <w:rPr>
                <w:b/>
                <w:bCs/>
                <w:i w:val="false"/>
                <w:iCs w:val="false"/>
                <w:color w:val="000000"/>
                <w:sz w:val="18"/>
                <w:szCs w:val="18"/>
              </w:rPr>
              <w:t xml:space="preserve">Yes</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Free text.</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HTML required, maxlength 120. Server rejects a blank name ("Give the new row a name.") and a name over 120 characters ("That name is too long for a statement line.").</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Empty</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Anchor (which subtotal it sits above)</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Set by the + button pressed</w:t>
            </w:r>
          </w:p>
        </w:tc>
        <w:tc>
          <w:tcPr>
            <w:tcW w:type="dxa" w:w="620"/>
            <w:shd w:fill="F7F9FC" w:val="clear"/>
            <w:tcMar>
              <w:top w:type="dxa" w:w="70"/>
              <w:left w:type="dxa" w:w="110"/>
              <w:bottom w:type="dxa" w:w="70"/>
              <w:right w:type="dxa" w:w="110"/>
            </w:tcMar>
          </w:tcPr>
          <w:p>
            <w:pPr>
              <w:spacing w:after="0"/>
            </w:pPr>
            <w:r>
              <w:rPr>
                <w:b/>
                <w:bCs/>
                <w:i w:val="false"/>
                <w:iCs w:val="false"/>
                <w:color w:val="000000"/>
                <w:sz w:val="18"/>
                <w:szCs w:val="18"/>
              </w:rPr>
              <w:t xml:space="preserve">Yes</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Must be one of the allowed anchors for that statement (list below).</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Validated server-side against a fixed list, not taken from the form. An unknown anchor is rejected with "Choose a total for the new row to sit above."</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Other side of the entry</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w:t>
            </w:r>
          </w:p>
        </w:tc>
        <w:tc>
          <w:tcPr>
            <w:tcW w:type="dxa" w:w="620"/>
            <w:shd w:fill="FFFFFF" w:val="clear"/>
            <w:tcMar>
              <w:top w:type="dxa" w:w="70"/>
              <w:left w:type="dxa" w:w="110"/>
              <w:bottom w:type="dxa" w:w="70"/>
              <w:right w:type="dxa" w:w="110"/>
            </w:tcMar>
          </w:tcPr>
          <w:p>
            <w:pPr>
              <w:spacing w:after="0"/>
            </w:pPr>
            <w:r>
              <w:rPr>
                <w:b/>
                <w:bCs/>
                <w:i w:val="false"/>
                <w:iCs w:val="false"/>
                <w:color w:val="000000"/>
                <w:sz w:val="18"/>
                <w:szCs w:val="18"/>
              </w:rPr>
              <w:t xml:space="preserve">Yes</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Affects profit and cash / Affects cash and equity / Affects profit only — no cash moves.</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An unrecognised value defaults to profit_and_cash on the income statement, cash_and_equity elsewhere.</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Affects profit and cash</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Value per forecast year</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Amount</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Negative for a cost or an outflow. Blank means nil.</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Accepts commas and (400) as −400. A value of exactly 0 is not stored at all.</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Blank</w:t>
            </w:r>
          </w:p>
        </w:tc>
      </w:tr>
    </w:tbl>
    <w:p>
      <w:pPr>
        <w:spacing w:after="80"/>
      </w:pPr>
    </w:p>
    <w:p>
      <w:pPr>
        <w:pStyle w:val="Heading3"/>
        <w:spacing w:after="100" w:before="220"/>
      </w:pPr>
      <w:r>
        <w:t xml:space="preserve">Where a row may be anchored</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600"/>
        <w:gridCol w:w="6760"/>
      </w:tblGrid>
      <w:tr>
        <w:trPr>
          <w:tblHeader/>
        </w:trPr>
        <w:tc>
          <w:tcPr>
            <w:tcW w:type="dxa" w:w="2600"/>
            <w:shd w:fill="1F3864" w:val="clear"/>
            <w:tcMar>
              <w:top w:type="dxa" w:w="70"/>
              <w:left w:type="dxa" w:w="110"/>
              <w:bottom w:type="dxa" w:w="70"/>
              <w:right w:type="dxa" w:w="110"/>
            </w:tcMar>
          </w:tcPr>
          <w:p>
            <w:pPr>
              <w:spacing w:after="0"/>
            </w:pPr>
            <w:r>
              <w:rPr>
                <w:b/>
                <w:bCs/>
                <w:i w:val="false"/>
                <w:iCs w:val="false"/>
                <w:color w:val="FFFFFF"/>
                <w:sz w:val="18"/>
                <w:szCs w:val="18"/>
              </w:rPr>
              <w:t xml:space="preserve">Statement</w:t>
            </w:r>
          </w:p>
        </w:tc>
        <w:tc>
          <w:tcPr>
            <w:tcW w:type="dxa" w:w="6760"/>
            <w:shd w:fill="1F3864" w:val="clear"/>
            <w:tcMar>
              <w:top w:type="dxa" w:w="70"/>
              <w:left w:type="dxa" w:w="110"/>
              <w:bottom w:type="dxa" w:w="70"/>
              <w:right w:type="dxa" w:w="110"/>
            </w:tcMar>
          </w:tcPr>
          <w:p>
            <w:pPr>
              <w:spacing w:after="0"/>
            </w:pPr>
            <w:r>
              <w:rPr>
                <w:b/>
                <w:bCs/>
                <w:i w:val="false"/>
                <w:iCs w:val="false"/>
                <w:color w:val="FFFFFF"/>
                <w:sz w:val="18"/>
                <w:szCs w:val="18"/>
              </w:rPr>
              <w:t xml:space="preserve">Allowed anchors</w:t>
            </w:r>
          </w:p>
        </w:tc>
      </w:tr>
      <w:tr>
        <w:tc>
          <w:tcPr>
            <w:tcW w:type="dxa" w:w="26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Income statement</w:t>
            </w:r>
          </w:p>
        </w:tc>
        <w:tc>
          <w:tcPr>
            <w:tcW w:type="dxa" w:w="67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Total revenue · Gross profit · Total operating expenses · EBITDA · EBIT · Net profit for the year</w:t>
            </w:r>
          </w:p>
        </w:tc>
      </w:tr>
      <w:tr>
        <w:tc>
          <w:tcPr>
            <w:tcW w:type="dxa" w:w="26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Balance sheet</w:t>
            </w:r>
          </w:p>
        </w:tc>
        <w:tc>
          <w:tcPr>
            <w:tcW w:type="dxa" w:w="67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Total assets · Total liabilities</w:t>
            </w:r>
          </w:p>
        </w:tc>
      </w:tr>
      <w:tr>
        <w:tc>
          <w:tcPr>
            <w:tcW w:type="dxa" w:w="26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Cash flow</w:t>
            </w:r>
          </w:p>
        </w:tc>
        <w:tc>
          <w:tcPr>
            <w:tcW w:type="dxa" w:w="67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Net cash from operating activities · Net cash used in investing activities · Net cash from financing activities</w:t>
            </w:r>
          </w:p>
        </w:tc>
      </w:tr>
      <w:tr>
        <w:tc>
          <w:tcPr>
            <w:tcW w:type="dxa" w:w="26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Liquidity</w:t>
            </w:r>
          </w:p>
        </w:tc>
        <w:tc>
          <w:tcPr>
            <w:tcW w:type="dxa" w:w="67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Total cash inflows · Total cash outflows</w:t>
            </w:r>
          </w:p>
        </w:tc>
      </w:tr>
      <w:tr>
        <w:tc>
          <w:tcPr>
            <w:tcW w:type="dxa" w:w="2600"/>
            <w:shd w:fill="FFFFFF" w:val="clear"/>
            <w:tcMar>
              <w:top w:type="dxa" w:w="70"/>
              <w:left w:type="dxa" w:w="110"/>
              <w:bottom w:type="dxa" w:w="70"/>
              <w:right w:type="dxa" w:w="110"/>
            </w:tcMar>
          </w:tcPr>
          <w:p>
            <w:pPr>
              <w:spacing w:after="0"/>
            </w:pPr>
            <w:r>
              <w:rPr>
                <w:b w:val="false"/>
                <w:bCs w:val="false"/>
                <w:i/>
                <w:iCs/>
                <w:color w:val="000000"/>
                <w:sz w:val="18"/>
                <w:szCs w:val="18"/>
              </w:rPr>
              <w:t xml:space="preserve">Dashboard, Actual analysis, Revenue mix, Initiatives, Ratios, Sensitivity</w:t>
            </w:r>
          </w:p>
        </w:tc>
        <w:tc>
          <w:tcPr>
            <w:tcW w:type="dxa" w:w="6760"/>
            <w:shd w:fill="FFFFFF" w:val="clear"/>
            <w:tcMar>
              <w:top w:type="dxa" w:w="70"/>
              <w:left w:type="dxa" w:w="110"/>
              <w:bottom w:type="dxa" w:w="70"/>
              <w:right w:type="dxa" w:w="110"/>
            </w:tcMar>
          </w:tcPr>
          <w:p>
            <w:pPr>
              <w:spacing w:after="0"/>
            </w:pPr>
            <w:r>
              <w:rPr>
                <w:b w:val="false"/>
                <w:bCs w:val="false"/>
                <w:i/>
                <w:iCs/>
                <w:color w:val="000000"/>
                <w:sz w:val="18"/>
                <w:szCs w:val="18"/>
              </w:rPr>
              <w:t xml:space="preserve">Not supported — no add-row control is shown.</w:t>
            </w:r>
          </w:p>
        </w:tc>
      </w:tr>
    </w:tbl>
    <w:p>
      <w:pPr>
        <w:spacing w:after="80"/>
      </w:pPr>
    </w:p>
    <w:tbl>
      <w:tblPr>
        <w:tblW w:type="dxa" w:w="9360"/>
        <w:tblBorders>
          <w:top w:val="single" w:color="D5DEE8" w:sz="2"/>
          <w:left w:val="single" w:color="2E8B57" w:sz="12"/>
          <w:bottom w:val="single" w:color="D5DEE8" w:sz="2"/>
          <w:right w:val="single" w:color="D5DEE8" w:sz="2"/>
          <w:insideH w:val="none"/>
          <w:insideV w:val="none"/>
        </w:tblBorders>
      </w:tblPr>
      <w:tblGrid>
        <w:gridCol w:w="9360"/>
      </w:tblGrid>
      <w:tr>
        <w:tc>
          <w:tcPr>
            <w:tcW w:type="dxa" w:w="9360"/>
            <w:shd w:fill="EAF6EC" w:val="clear"/>
            <w:tcMar>
              <w:top w:type="dxa" w:w="120"/>
              <w:left w:type="dxa" w:w="180"/>
              <w:bottom w:type="dxa" w:w="120"/>
              <w:right w:type="dxa" w:w="180"/>
            </w:tcMar>
          </w:tcPr>
          <w:p>
            <w:pPr>
              <w:spacing w:after="60"/>
            </w:pPr>
            <w:r>
              <w:rPr>
                <w:b/>
                <w:bCs/>
                <w:color w:val="1F3864"/>
                <w:sz w:val="20"/>
                <w:szCs w:val="20"/>
              </w:rPr>
              <w:t xml:space="preserve">The key guarantee to test here</w:t>
            </w:r>
          </w:p>
          <w:p>
            <w:pPr>
              <w:spacing w:after="60"/>
            </w:pPr>
            <w:r>
              <w:rPr>
                <w:sz w:val="19"/>
                <w:szCs w:val="19"/>
              </w:rPr>
              <w:t xml:space="preserve">Whatever a user adds, the balance sheet must still balance and cash must still tie. That is what the "other side of the entry" choice buys, and it is covered by 12 automated tests.</w:t>
            </w:r>
          </w:p>
          <w:p>
            <w:pPr>
              <w:spacing w:after="60"/>
            </w:pPr>
            <w:r>
              <w:rPr>
                <w:sz w:val="19"/>
                <w:szCs w:val="19"/>
              </w:rPr>
              <w:t xml:space="preserve">Rows anchored to a subtotal in the income statement CASCADE: a row above "Total operating expenses" moves that total, and EBITDA, EBIT, profit before zakat and net profit below it.</w:t>
            </w:r>
          </w:p>
          <w:p>
            <w:pPr>
              <w:spacing w:after="60"/>
            </w:pPr>
            <w:r>
              <w:rPr>
                <w:sz w:val="19"/>
                <w:szCs w:val="19"/>
              </w:rPr>
              <w:t xml:space="preserve">A row added on the cash flow also reaches the liquidity statement, split onto the inflow or outflow side by its sign.</w:t>
            </w:r>
          </w:p>
          <w:p>
            <w:pPr>
              <w:spacing w:after="0"/>
            </w:pPr>
            <w:r>
              <w:rPr>
                <w:sz w:val="19"/>
                <w:szCs w:val="19"/>
              </w:rPr>
              <w:t xml:space="preserve">On the liquidity statement outflows are shown as positive magnitudes, so an outflow row of 5,000,000 REDUCES cash by five million.</w:t>
            </w:r>
          </w:p>
        </w:tc>
      </w:tr>
    </w:tbl>
    <w:p>
      <w:pPr>
        <w:spacing w:after="8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900"/>
        <w:gridCol w:w="3430"/>
        <w:gridCol w:w="4030"/>
      </w:tblGrid>
      <w:tr>
        <w:trPr>
          <w:tblHeader/>
        </w:trPr>
        <w:tc>
          <w:tcPr>
            <w:tcW w:type="dxa" w:w="1900"/>
            <w:shd w:fill="1F3864" w:val="clear"/>
            <w:tcMar>
              <w:top w:type="dxa" w:w="70"/>
              <w:left w:type="dxa" w:w="110"/>
              <w:bottom w:type="dxa" w:w="70"/>
              <w:right w:type="dxa" w:w="110"/>
            </w:tcMar>
          </w:tcPr>
          <w:p>
            <w:pPr>
              <w:spacing w:after="0"/>
            </w:pPr>
            <w:r>
              <w:rPr>
                <w:b/>
                <w:bCs/>
                <w:i w:val="false"/>
                <w:iCs w:val="false"/>
                <w:color w:val="FFFFFF"/>
                <w:sz w:val="18"/>
                <w:szCs w:val="18"/>
              </w:rPr>
              <w:t xml:space="preserve">Control</w:t>
            </w:r>
          </w:p>
        </w:tc>
        <w:tc>
          <w:tcPr>
            <w:tcW w:type="dxa" w:w="3430"/>
            <w:shd w:fill="1F3864" w:val="clear"/>
            <w:tcMar>
              <w:top w:type="dxa" w:w="70"/>
              <w:left w:type="dxa" w:w="110"/>
              <w:bottom w:type="dxa" w:w="70"/>
              <w:right w:type="dxa" w:w="110"/>
            </w:tcMar>
          </w:tcPr>
          <w:p>
            <w:pPr>
              <w:spacing w:after="0"/>
            </w:pPr>
            <w:r>
              <w:rPr>
                <w:b/>
                <w:bCs/>
                <w:i w:val="false"/>
                <w:iCs w:val="false"/>
                <w:color w:val="FFFFFF"/>
                <w:sz w:val="18"/>
                <w:szCs w:val="18"/>
              </w:rPr>
              <w:t xml:space="preserve">What it does</w:t>
            </w:r>
          </w:p>
        </w:tc>
        <w:tc>
          <w:tcPr>
            <w:tcW w:type="dxa" w:w="4030"/>
            <w:shd w:fill="1F3864" w:val="clear"/>
            <w:tcMar>
              <w:top w:type="dxa" w:w="70"/>
              <w:left w:type="dxa" w:w="110"/>
              <w:bottom w:type="dxa" w:w="70"/>
              <w:right w:type="dxa" w:w="110"/>
            </w:tcMar>
          </w:tcPr>
          <w:p>
            <w:pPr>
              <w:spacing w:after="0"/>
            </w:pPr>
            <w:r>
              <w:rPr>
                <w:b/>
                <w:bCs/>
                <w:i w:val="false"/>
                <w:iCs w:val="false"/>
                <w:color w:val="FFFFFF"/>
                <w:sz w:val="18"/>
                <w:szCs w:val="18"/>
              </w:rPr>
              <w:t xml:space="preserve">Expected result</w:t>
            </w:r>
          </w:p>
        </w:tc>
      </w:tr>
      <w:tr>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Save row</w:t>
            </w:r>
          </w:p>
        </w:tc>
        <w:tc>
          <w:tcPr>
            <w:tcW w:type="dxa" w:w="34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Creates or updates the row and its yearly values.</w:t>
            </w:r>
          </w:p>
        </w:tc>
        <w:tc>
          <w:tcPr>
            <w:tcW w:type="dxa" w:w="40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Flash "Row saved. The totals above it now include it." Redirects back to the statement. Values are replaced wholesale on each save.</w:t>
            </w:r>
          </w:p>
        </w:tc>
      </w:tr>
      <w:tr>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Delete (bin icon)</w:t>
            </w:r>
          </w:p>
        </w:tc>
        <w:tc>
          <w:tcPr>
            <w:tcW w:type="dxa" w:w="34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Removes the row and its values.</w:t>
            </w:r>
          </w:p>
        </w:tc>
        <w:tc>
          <w:tcPr>
            <w:tcW w:type="dxa" w:w="40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Flash "Row removed." Scoped to the active model, so a row id from another company's model cannot be deleted by posting it.</w:t>
            </w:r>
          </w:p>
        </w:tc>
      </w:tr>
      <w:tr>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Any validation failure</w:t>
            </w:r>
          </w:p>
        </w:tc>
        <w:tc>
          <w:tcPr>
            <w:tcW w:type="dxa" w:w="34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Server-side rejection.</w:t>
            </w:r>
          </w:p>
        </w:tc>
        <w:tc>
          <w:tcPr>
            <w:tcW w:type="dxa" w:w="40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red flash carrying the specific message; nothing is saved and you stay on the statement.</w:t>
            </w:r>
          </w:p>
        </w:tc>
      </w:tr>
    </w:tbl>
    <w:p>
      <w:pPr>
        <w:spacing w:after="120"/>
      </w:pPr>
    </w:p>
    <w:p>
      <w:pPr>
        <w:pStyle w:val="Heading2"/>
        <w:spacing w:after="120" w:before="280"/>
      </w:pPr>
      <w:r>
        <w:t xml:space="preserve">2.18  Output screens — what each one shows</w:t>
      </w:r>
    </w:p>
    <w:p>
      <w:pPr>
        <w:pStyle w:val="Heading3"/>
        <w:spacing w:after="100" w:before="220"/>
      </w:pPr>
      <w:r>
        <w:t xml:space="preserve">Dashboard  —  /outputs/dashboard</w:t>
      </w:r>
    </w:p>
    <w:p>
      <w:pPr>
        <w:spacing w:after="120"/>
      </w:pPr>
      <w:r>
        <w:rPr>
          <w:b w:val="false"/>
          <w:bCs w:val="false"/>
          <w:i w:val="false"/>
          <w:iCs w:val="false"/>
          <w:sz w:val="20"/>
          <w:szCs w:val="20"/>
        </w:rPr>
        <w:t xml:space="preserve">Six KPI tiles for the FINAL forecast year: Revenue (with the initiative portion beneath it), EBITDA (with margin), Net profit, Closing cash, Net debt, and the Balance check.</w:t>
      </w:r>
    </w:p>
    <w:p>
      <w:pPr>
        <w:spacing w:after="120"/>
      </w:pPr>
      <w:r>
        <w:rPr>
          <w:b w:val="false"/>
          <w:bCs w:val="false"/>
          <w:i w:val="false"/>
          <w:iCs w:val="false"/>
          <w:sz w:val="20"/>
          <w:szCs w:val="20"/>
        </w:rPr>
        <w:t xml:space="preserve">Six charts: revenue split organic vs initiatives; EBITDA and net profit; cash flow by activity; cash and net debt; margin trend; working capital cycle. Hovering or tapping any chart snaps to the nearest year, draws a guideline and reads out every series at that point.</w:t>
      </w:r>
    </w:p>
    <w:p>
      <w:pPr>
        <w:pStyle w:val="Heading3"/>
        <w:spacing w:after="100" w:before="220"/>
      </w:pPr>
      <w:r>
        <w:t xml:space="preserve">Actual analysis  —  /outputs/actual-analysis</w:t>
      </w:r>
    </w:p>
    <w:p>
      <w:pPr>
        <w:spacing w:after="120"/>
      </w:pPr>
      <w:r>
        <w:rPr>
          <w:b w:val="false"/>
          <w:bCs w:val="false"/>
          <w:i w:val="false"/>
          <w:iCs w:val="false"/>
          <w:sz w:val="20"/>
          <w:szCs w:val="20"/>
        </w:rPr>
        <w:t xml:space="preserve">Built entirely from the historical inputs, with no forecast assumption involved. Four blocks:</w:t>
      </w:r>
    </w:p>
    <w:p>
      <w:pPr>
        <w:pStyle w:val="ListParagraph"/>
        <w:numPr>
          <w:ilvl w:val="0"/>
          <w:numId w:val="3"/>
        </w:numPr>
        <w:spacing w:after="60"/>
      </w:pPr>
      <w:r>
        <w:rPr>
          <w:sz w:val="20"/>
          <w:szCs w:val="20"/>
        </w:rPr>
        <w:t xml:space="preserve">Group trend: revenue, growth %, CAGR, cost lines, gross margin, EBITDA margin, EBIT margin, per closed year.</w:t>
      </w:r>
    </w:p>
    <w:p>
      <w:pPr>
        <w:pStyle w:val="ListParagraph"/>
        <w:numPr>
          <w:ilvl w:val="0"/>
          <w:numId w:val="3"/>
        </w:numPr>
        <w:spacing w:after="60"/>
      </w:pPr>
      <w:r>
        <w:rPr>
          <w:sz w:val="20"/>
          <w:szCs w:val="20"/>
        </w:rPr>
        <w:t xml:space="preserve">Per business unit: revenue, gross profit and margin, EBITDA and margin, cost ratio, depreciation, capex, growth, CAGR and share of group revenue.</w:t>
      </w:r>
    </w:p>
    <w:p>
      <w:pPr>
        <w:pStyle w:val="ListParagraph"/>
        <w:numPr>
          <w:ilvl w:val="0"/>
          <w:numId w:val="3"/>
        </w:numPr>
        <w:spacing w:after="60"/>
      </w:pPr>
      <w:r>
        <w:rPr>
          <w:sz w:val="20"/>
          <w:szCs w:val="20"/>
        </w:rPr>
        <w:t xml:space="preserve">Opening position: implied DSO/DIO/DPO and cash conversion cycle from the one historical balance-sheet snapshot; net debt, net debt/EBITDA, equity, net PP&amp;E, capital employed, ROCE, asset turnover; and capex versus depreciation as a reinvestment ratio.</w:t>
      </w:r>
    </w:p>
    <w:p>
      <w:pPr>
        <w:pStyle w:val="ListParagraph"/>
        <w:numPr>
          <w:ilvl w:val="0"/>
          <w:numId w:val="3"/>
        </w:numPr>
        <w:spacing w:after="60"/>
      </w:pPr>
      <w:r>
        <w:rPr>
          <w:sz w:val="20"/>
          <w:szCs w:val="20"/>
        </w:rPr>
        <w:t xml:space="preserve">The forecast bridge: four cost ratios as they actually were in the last closed year against what the forecast assumes for its first year. Anything moving 1 percentage point or more in the company's favour is FLAGGED. This is the screen's reason to exist.</w:t>
      </w:r>
    </w:p>
    <w:p>
      <w:pPr>
        <w:pStyle w:val="Heading3"/>
        <w:spacing w:after="100" w:before="220"/>
      </w:pPr>
      <w:r>
        <w:t xml:space="preserve">Revenue mix  —  /outputs/revenue-mix</w:t>
      </w:r>
    </w:p>
    <w:p>
      <w:pPr>
        <w:spacing w:after="120"/>
      </w:pPr>
      <w:r>
        <w:rPr>
          <w:b w:val="false"/>
          <w:bCs w:val="false"/>
          <w:i w:val="false"/>
          <w:iCs w:val="false"/>
          <w:sz w:val="20"/>
          <w:szCs w:val="20"/>
        </w:rPr>
        <w:t xml:space="preserve">Each unit's revenue over total revenue, for actual and forecast years. Derived, never entered — the input screen for it was removed deliberately. Company-wide initiatives appear on their own line ("Group-wide initiatives (not attributed to a unit)") so the mix still sums to exactly 100%.</w:t>
      </w:r>
    </w:p>
    <w:p>
      <w:pPr>
        <w:pStyle w:val="Heading3"/>
        <w:spacing w:after="100" w:before="220"/>
      </w:pPr>
      <w:r>
        <w:t xml:space="preserve">Initiatives  —  /outputs/initiatives</w:t>
      </w:r>
    </w:p>
    <w:p>
      <w:pPr>
        <w:spacing w:after="120"/>
      </w:pPr>
      <w:r>
        <w:rPr>
          <w:b w:val="false"/>
          <w:bCs w:val="false"/>
          <w:i w:val="false"/>
          <w:iCs w:val="false"/>
          <w:sz w:val="20"/>
          <w:szCs w:val="20"/>
        </w:rPr>
        <w:t xml:space="preserve">Each initiative's own P&amp;L: revenue, cost of sales, gross profit, incremental opex, opex savings, EBITDA contribution and capex — all already probability-weighted. Shows the owner, the probability applied and which scenario produced it.</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900"/>
        <w:gridCol w:w="3430"/>
        <w:gridCol w:w="4030"/>
      </w:tblGrid>
      <w:tr>
        <w:trPr>
          <w:tblHeader/>
        </w:trPr>
        <w:tc>
          <w:tcPr>
            <w:tcW w:type="dxa" w:w="1900"/>
            <w:shd w:fill="1F3864" w:val="clear"/>
            <w:tcMar>
              <w:top w:type="dxa" w:w="70"/>
              <w:left w:type="dxa" w:w="110"/>
              <w:bottom w:type="dxa" w:w="70"/>
              <w:right w:type="dxa" w:w="110"/>
            </w:tcMar>
          </w:tcPr>
          <w:p>
            <w:pPr>
              <w:spacing w:after="0"/>
            </w:pPr>
            <w:r>
              <w:rPr>
                <w:b/>
                <w:bCs/>
                <w:i w:val="false"/>
                <w:iCs w:val="false"/>
                <w:color w:val="FFFFFF"/>
                <w:sz w:val="18"/>
                <w:szCs w:val="18"/>
              </w:rPr>
              <w:t xml:space="preserve">Control</w:t>
            </w:r>
          </w:p>
        </w:tc>
        <w:tc>
          <w:tcPr>
            <w:tcW w:type="dxa" w:w="3430"/>
            <w:shd w:fill="1F3864" w:val="clear"/>
            <w:tcMar>
              <w:top w:type="dxa" w:w="70"/>
              <w:left w:type="dxa" w:w="110"/>
              <w:bottom w:type="dxa" w:w="70"/>
              <w:right w:type="dxa" w:w="110"/>
            </w:tcMar>
          </w:tcPr>
          <w:p>
            <w:pPr>
              <w:spacing w:after="0"/>
            </w:pPr>
            <w:r>
              <w:rPr>
                <w:b/>
                <w:bCs/>
                <w:i w:val="false"/>
                <w:iCs w:val="false"/>
                <w:color w:val="FFFFFF"/>
                <w:sz w:val="18"/>
                <w:szCs w:val="18"/>
              </w:rPr>
              <w:t xml:space="preserve">What it does</w:t>
            </w:r>
          </w:p>
        </w:tc>
        <w:tc>
          <w:tcPr>
            <w:tcW w:type="dxa" w:w="4030"/>
            <w:shd w:fill="1F3864" w:val="clear"/>
            <w:tcMar>
              <w:top w:type="dxa" w:w="70"/>
              <w:left w:type="dxa" w:w="110"/>
              <w:bottom w:type="dxa" w:w="70"/>
              <w:right w:type="dxa" w:w="110"/>
            </w:tcMar>
          </w:tcPr>
          <w:p>
            <w:pPr>
              <w:spacing w:after="0"/>
            </w:pPr>
            <w:r>
              <w:rPr>
                <w:b/>
                <w:bCs/>
                <w:i w:val="false"/>
                <w:iCs w:val="false"/>
                <w:color w:val="FFFFFF"/>
                <w:sz w:val="18"/>
                <w:szCs w:val="18"/>
              </w:rPr>
              <w:t xml:space="preserve">Expected result</w:t>
            </w:r>
          </w:p>
        </w:tc>
      </w:tr>
      <w:tr>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Hold all initiatives at a scenario</w:t>
            </w:r>
          </w:p>
        </w:tc>
        <w:tc>
          <w:tcPr>
            <w:tcW w:type="dxa" w:w="34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Sets a model-wide initiative scenario, independent of the scenario the rest of the model is viewed at.</w:t>
            </w:r>
          </w:p>
        </w:tc>
        <w:tc>
          <w:tcPr>
            <w:tcW w:type="dxa" w:w="40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Saved on the MODEL, so it applies to every output screen — not just this one. Flash confirms. Clearing it makes initiatives follow the model scenario again.</w:t>
            </w:r>
          </w:p>
        </w:tc>
      </w:tr>
      <w:tr>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Per-initiative scenario drivers → Save</w:t>
            </w:r>
          </w:p>
        </w:tc>
        <w:tc>
          <w:tcPr>
            <w:tcW w:type="dxa" w:w="34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Sets each initiative's own scenario in one submission.</w:t>
            </w:r>
          </w:p>
        </w:tc>
        <w:tc>
          <w:tcPr>
            <w:tcW w:type="dxa" w:w="40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Flash "Saved. N initiatives updated across every output." Writes an audit entry.</w:t>
            </w:r>
          </w:p>
        </w:tc>
      </w:tr>
      <w:tr>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Per-initiative scenario drivers → Save as</w:t>
            </w:r>
          </w:p>
        </w:tc>
        <w:tc>
          <w:tcPr>
            <w:tcW w:type="dxa" w:w="34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Duplicates the model first, then applies the chosen mix to the copy.</w:t>
            </w:r>
          </w:p>
        </w:tc>
        <w:tc>
          <w:tcPr>
            <w:tcW w:type="dxa" w:w="40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session switches to the copy and the original is untouched. Selections are carried across BY POSITION, because the copy has new initiative ids — worth a specific test with initiatives in a non-obvious order.</w:t>
            </w:r>
          </w:p>
        </w:tc>
      </w:tr>
    </w:tbl>
    <w:p>
      <w:pPr>
        <w:pStyle w:val="Heading3"/>
        <w:spacing w:after="100" w:before="220"/>
      </w:pPr>
      <w:r>
        <w:t xml:space="preserve">Income statement  —  /outputs/income-statement</w:t>
      </w:r>
    </w:p>
    <w:p>
      <w:pPr>
        <w:spacing w:after="120"/>
      </w:pPr>
      <w:r>
        <w:rPr>
          <w:b w:val="false"/>
          <w:bCs w:val="false"/>
          <w:i w:val="false"/>
          <w:iCs w:val="false"/>
          <w:sz w:val="20"/>
          <w:szCs w:val="20"/>
        </w:rPr>
        <w:t xml:space="preserve">Actual years and forecast years side by side, with a vertical rule before the first forecast column. Offers the business-unit selector. Adds three derived italic rows at the bottom: gross margin %, EBITDA margin %, net margin %. One line per levy the model defines, plus a combined line when there is more than one.</w:t>
      </w:r>
    </w:p>
    <w:tbl>
      <w:tblPr>
        <w:tblW w:type="dxa" w:w="9360"/>
        <w:tblBorders>
          <w:top w:val="single" w:color="D5DEE8" w:sz="2"/>
          <w:left w:val="single" w:color="C0392B" w:sz="12"/>
          <w:bottom w:val="single" w:color="D5DEE8" w:sz="2"/>
          <w:right w:val="single" w:color="D5DEE8" w:sz="2"/>
          <w:insideH w:val="none"/>
          <w:insideV w:val="none"/>
        </w:tblBorders>
      </w:tblPr>
      <w:tblGrid>
        <w:gridCol w:w="9360"/>
      </w:tblGrid>
      <w:tr>
        <w:tc>
          <w:tcPr>
            <w:tcW w:type="dxa" w:w="9360"/>
            <w:shd w:fill="FDECEC" w:val="clear"/>
            <w:tcMar>
              <w:top w:type="dxa" w:w="120"/>
              <w:left w:type="dxa" w:w="180"/>
              <w:bottom w:type="dxa" w:w="120"/>
              <w:right w:type="dxa" w:w="180"/>
            </w:tcMar>
          </w:tcPr>
          <w:p>
            <w:pPr>
              <w:spacing w:after="60"/>
            </w:pPr>
            <w:r>
              <w:rPr>
                <w:b/>
                <w:bCs/>
                <w:color w:val="1F3864"/>
                <w:sz w:val="20"/>
                <w:szCs w:val="20"/>
              </w:rPr>
              <w:t xml:space="preserve">DEFECT D5 — screen and CSV disagree on the historical columns</w:t>
            </w:r>
          </w:p>
          <w:p>
            <w:pPr>
              <w:spacing w:after="60"/>
            </w:pPr>
            <w:r>
              <w:rPr>
                <w:sz w:val="19"/>
                <w:szCs w:val="19"/>
              </w:rPr>
              <w:t xml:space="preserve">On screen, actual Revenue is shown against BOTH "Revenue — organic" and "Total revenue" — the same figure printed twice.</w:t>
            </w:r>
          </w:p>
          <w:p>
            <w:pPr>
              <w:spacing w:after="60"/>
            </w:pPr>
            <w:r>
              <w:rPr>
                <w:sz w:val="19"/>
                <w:szCs w:val="19"/>
              </w:rPr>
              <w:t xml:space="preserve">In the CSV export, neither row carries any actual figure: the historical columns for "Revenue — organic" and "Total revenue" come out blank, because the export matches actual data by exact line name and no "Revenue" line exists in the forecast statement.</w:t>
            </w:r>
          </w:p>
          <w:p>
            <w:pPr>
              <w:spacing w:after="0"/>
            </w:pPr>
            <w:r>
              <w:rPr>
                <w:sz w:val="19"/>
                <w:szCs w:val="19"/>
              </w:rPr>
              <w:t xml:space="preserve">Net effect: historical revenue is missing entirely from the income-statement CSV. Verified on the running system.</w:t>
            </w:r>
          </w:p>
        </w:tc>
      </w:tr>
    </w:tbl>
    <w:p>
      <w:pPr>
        <w:pStyle w:val="Heading3"/>
        <w:spacing w:after="100" w:before="220"/>
      </w:pPr>
      <w:r>
        <w:t xml:space="preserve">Cash flow  —  /outputs/cash-flow</w:t>
      </w:r>
    </w:p>
    <w:p>
      <w:pPr>
        <w:spacing w:after="120"/>
      </w:pPr>
      <w:r>
        <w:rPr>
          <w:b w:val="false"/>
          <w:bCs w:val="false"/>
          <w:i w:val="false"/>
          <w:iCs w:val="false"/>
          <w:sz w:val="20"/>
          <w:szCs w:val="20"/>
        </w:rPr>
        <w:t xml:space="preserve">Indirect method. Net profit, add back depreciation, then the movement in each working-capital line, provisions and the levy payable, to net cash from operating activities. Then investing (capex), then financing (debt drawn and repaid, revolver drawn and repaid, dividends paid, group treasury transfers). Ends with net change in cash, opening cash and closing cash.</w:t>
      </w:r>
    </w:p>
    <w:p>
      <w:pPr>
        <w:pStyle w:val="Heading3"/>
        <w:spacing w:after="100" w:before="220"/>
      </w:pPr>
      <w:r>
        <w:t xml:space="preserve">Liquidity  —  /outputs/liquidity</w:t>
      </w:r>
    </w:p>
    <w:p>
      <w:pPr>
        <w:spacing w:after="120"/>
      </w:pPr>
      <w:r>
        <w:rPr>
          <w:b w:val="false"/>
          <w:bCs w:val="false"/>
          <w:i w:val="false"/>
          <w:iCs w:val="false"/>
          <w:sz w:val="20"/>
          <w:szCs w:val="20"/>
        </w:rPr>
        <w:t xml:space="preserve">Sources and uses of funds — the question a treasurer or a lender asks. Inflows and outflows are listed separately with outflows as positive magnitudes, then net cash flow, opening cash, cumulative cash and cumulative net cash flow since inception.</w:t>
      </w:r>
    </w:p>
    <w:p>
      <w:pPr>
        <w:spacing w:after="120"/>
      </w:pPr>
      <w:r>
        <w:rPr>
          <w:b w:val="false"/>
          <w:bCs w:val="false"/>
          <w:i w:val="false"/>
          <w:iCs w:val="false"/>
          <w:sz w:val="20"/>
          <w:szCs w:val="20"/>
        </w:rPr>
        <w:t xml:space="preserve">Note the presentation: interest and levies are added back to net profit on the inflow side and then shown as their own outflow rows, so debt service is visible without being double-counted.</w:t>
      </w:r>
    </w:p>
    <w:p>
      <w:pPr>
        <w:pStyle w:val="Heading3"/>
        <w:spacing w:after="100" w:before="220"/>
      </w:pPr>
      <w:r>
        <w:t xml:space="preserve">Balance sheet  —  /outputs/balance-sheet</w:t>
      </w:r>
    </w:p>
    <w:p>
      <w:pPr>
        <w:spacing w:after="120"/>
      </w:pPr>
      <w:r>
        <w:rPr>
          <w:b w:val="false"/>
          <w:bCs w:val="false"/>
          <w:i w:val="false"/>
          <w:iCs w:val="false"/>
          <w:sz w:val="20"/>
          <w:szCs w:val="20"/>
        </w:rPr>
        <w:t xml:space="preserve">An opening column (the last actual year) followed by every forecast year. Current assets, non-current assets, total assets; current liabilities, non-current liabilities, total liabilities; equity; total liabilities and equity; and a "Balance check" row that must read zero in every column.</w:t>
      </w:r>
    </w:p>
    <w:p>
      <w:pPr>
        <w:spacing w:after="120"/>
      </w:pPr>
      <w:r>
        <w:rPr>
          <w:b w:val="false"/>
          <w:bCs w:val="false"/>
          <w:i w:val="false"/>
          <w:iCs w:val="false"/>
          <w:sz w:val="20"/>
          <w:szCs w:val="20"/>
        </w:rPr>
        <w:t xml:space="preserve">In a group view the "Due to / (from) group treasury" line is always zero. It only carries a figure in a segment view, where it holds the difference between a unit's own cash flows and its allocated share of pooled cash.</w:t>
      </w:r>
    </w:p>
    <w:p>
      <w:pPr>
        <w:pStyle w:val="Heading3"/>
        <w:spacing w:after="100" w:before="220"/>
      </w:pPr>
      <w:r>
        <w:t xml:space="preserve">Ratios  —  /outputs/ratios</w:t>
      </w:r>
    </w:p>
    <w:p>
      <w:pPr>
        <w:spacing w:after="120"/>
      </w:pPr>
      <w:r>
        <w:rPr>
          <w:b w:val="false"/>
          <w:bCs w:val="false"/>
          <w:i w:val="false"/>
          <w:iCs w:val="false"/>
          <w:sz w:val="20"/>
          <w:szCs w:val="20"/>
        </w:rPr>
        <w:t xml:space="preserve">Fifteen ratios in six groups, plus two extra panels. Offers the business-unit selector.</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400"/>
        <w:gridCol w:w="4960"/>
        <w:gridCol w:w="2000"/>
      </w:tblGrid>
      <w:tr>
        <w:trPr>
          <w:tblHeader/>
        </w:trPr>
        <w:tc>
          <w:tcPr>
            <w:tcW w:type="dxa" w:w="2400"/>
            <w:shd w:fill="1F3864" w:val="clear"/>
            <w:tcMar>
              <w:top w:type="dxa" w:w="70"/>
              <w:left w:type="dxa" w:w="110"/>
              <w:bottom w:type="dxa" w:w="70"/>
              <w:right w:type="dxa" w:w="110"/>
            </w:tcMar>
          </w:tcPr>
          <w:p>
            <w:pPr>
              <w:spacing w:after="0"/>
            </w:pPr>
            <w:r>
              <w:rPr>
                <w:b/>
                <w:bCs/>
                <w:i w:val="false"/>
                <w:iCs w:val="false"/>
                <w:color w:val="FFFFFF"/>
                <w:sz w:val="18"/>
                <w:szCs w:val="18"/>
              </w:rPr>
              <w:t xml:space="preserve">Group</w:t>
            </w:r>
          </w:p>
        </w:tc>
        <w:tc>
          <w:tcPr>
            <w:tcW w:type="dxa" w:w="4960"/>
            <w:shd w:fill="1F3864" w:val="clear"/>
            <w:tcMar>
              <w:top w:type="dxa" w:w="70"/>
              <w:left w:type="dxa" w:w="110"/>
              <w:bottom w:type="dxa" w:w="70"/>
              <w:right w:type="dxa" w:w="110"/>
            </w:tcMar>
          </w:tcPr>
          <w:p>
            <w:pPr>
              <w:spacing w:after="0"/>
            </w:pPr>
            <w:r>
              <w:rPr>
                <w:b/>
                <w:bCs/>
                <w:i w:val="false"/>
                <w:iCs w:val="false"/>
                <w:color w:val="FFFFFF"/>
                <w:sz w:val="18"/>
                <w:szCs w:val="18"/>
              </w:rPr>
              <w:t xml:space="preserve">Ratios</w:t>
            </w:r>
          </w:p>
        </w:tc>
        <w:tc>
          <w:tcPr>
            <w:tcW w:type="dxa" w:w="2000"/>
            <w:shd w:fill="1F3864" w:val="clear"/>
            <w:tcMar>
              <w:top w:type="dxa" w:w="70"/>
              <w:left w:type="dxa" w:w="110"/>
              <w:bottom w:type="dxa" w:w="70"/>
              <w:right w:type="dxa" w:w="110"/>
            </w:tcMar>
          </w:tcPr>
          <w:p>
            <w:pPr>
              <w:spacing w:after="0"/>
            </w:pPr>
            <w:r>
              <w:rPr>
                <w:b/>
                <w:bCs/>
                <w:i w:val="false"/>
                <w:iCs w:val="false"/>
                <w:color w:val="FFFFFF"/>
                <w:sz w:val="18"/>
                <w:szCs w:val="18"/>
              </w:rPr>
              <w:t xml:space="preserve">Blank in a unit view?</w:t>
            </w:r>
          </w:p>
        </w:tc>
      </w:tr>
      <w:tr>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Trading performance</w:t>
            </w:r>
          </w:p>
        </w:tc>
        <w:tc>
          <w:tcPr>
            <w:tcW w:type="dxa" w:w="4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Gross margin %, EBITDA margin %, Net margin %</w:t>
            </w:r>
          </w:p>
        </w:tc>
        <w:tc>
          <w:tcPr>
            <w:tcW w:type="dxa" w:w="2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r>
      <w:tr>
        <w:tc>
          <w:tcPr>
            <w:tcW w:type="dxa" w:w="2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Returns</w:t>
            </w:r>
          </w:p>
        </w:tc>
        <w:tc>
          <w:tcPr>
            <w:tcW w:type="dxa" w:w="49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Return on equity %, Return on assets %</w:t>
            </w:r>
          </w:p>
        </w:tc>
        <w:tc>
          <w:tcPr>
            <w:tcW w:type="dxa" w:w="2000"/>
            <w:shd w:fill="F7F9FC" w:val="clear"/>
            <w:tcMar>
              <w:top w:type="dxa" w:w="70"/>
              <w:left w:type="dxa" w:w="110"/>
              <w:bottom w:type="dxa" w:w="70"/>
              <w:right w:type="dxa" w:w="110"/>
            </w:tcMar>
          </w:tcPr>
          <w:p>
            <w:pPr>
              <w:spacing w:after="0"/>
            </w:pPr>
            <w:r>
              <w:rPr>
                <w:b/>
                <w:bCs/>
                <w:i w:val="false"/>
                <w:iCs w:val="false"/>
                <w:color w:val="000000"/>
                <w:sz w:val="18"/>
                <w:szCs w:val="18"/>
              </w:rPr>
              <w:t xml:space="preserve">Yes — group only</w:t>
            </w:r>
          </w:p>
        </w:tc>
      </w:tr>
      <w:tr>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Working capital efficiency</w:t>
            </w:r>
          </w:p>
        </w:tc>
        <w:tc>
          <w:tcPr>
            <w:tcW w:type="dxa" w:w="4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DSO, DIO, DPO, Cash conversion cycle</w:t>
            </w:r>
          </w:p>
        </w:tc>
        <w:tc>
          <w:tcPr>
            <w:tcW w:type="dxa" w:w="2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r>
      <w:tr>
        <w:tc>
          <w:tcPr>
            <w:tcW w:type="dxa" w:w="2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Liquidity</w:t>
            </w:r>
          </w:p>
        </w:tc>
        <w:tc>
          <w:tcPr>
            <w:tcW w:type="dxa" w:w="49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Current ratio, Quick ratio</w:t>
            </w:r>
          </w:p>
        </w:tc>
        <w:tc>
          <w:tcPr>
            <w:tcW w:type="dxa" w:w="2000"/>
            <w:shd w:fill="F7F9FC" w:val="clear"/>
            <w:tcMar>
              <w:top w:type="dxa" w:w="70"/>
              <w:left w:type="dxa" w:w="110"/>
              <w:bottom w:type="dxa" w:w="70"/>
              <w:right w:type="dxa" w:w="110"/>
            </w:tcMar>
          </w:tcPr>
          <w:p>
            <w:pPr>
              <w:spacing w:after="0"/>
            </w:pPr>
            <w:r>
              <w:rPr>
                <w:b/>
                <w:bCs/>
                <w:i w:val="false"/>
                <w:iCs w:val="false"/>
                <w:color w:val="000000"/>
                <w:sz w:val="18"/>
                <w:szCs w:val="18"/>
              </w:rPr>
              <w:t xml:space="preserve">Yes — group only</w:t>
            </w:r>
          </w:p>
        </w:tc>
      </w:tr>
      <w:tr>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Leverage &amp; cover</w:t>
            </w:r>
          </w:p>
        </w:tc>
        <w:tc>
          <w:tcPr>
            <w:tcW w:type="dxa" w:w="4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Net debt, Net debt / EBITDA, Interest cover</w:t>
            </w:r>
          </w:p>
        </w:tc>
        <w:tc>
          <w:tcPr>
            <w:tcW w:type="dxa" w:w="2000"/>
            <w:shd w:fill="FFFFFF" w:val="clear"/>
            <w:tcMar>
              <w:top w:type="dxa" w:w="70"/>
              <w:left w:type="dxa" w:w="110"/>
              <w:bottom w:type="dxa" w:w="70"/>
              <w:right w:type="dxa" w:w="110"/>
            </w:tcMar>
          </w:tcPr>
          <w:p>
            <w:pPr>
              <w:spacing w:after="0"/>
            </w:pPr>
            <w:r>
              <w:rPr>
                <w:b/>
                <w:bCs/>
                <w:i w:val="false"/>
                <w:iCs w:val="false"/>
                <w:color w:val="000000"/>
                <w:sz w:val="18"/>
                <w:szCs w:val="18"/>
              </w:rPr>
              <w:t xml:space="preserve">Yes — group only</w:t>
            </w:r>
          </w:p>
        </w:tc>
      </w:tr>
      <w:tr>
        <w:tc>
          <w:tcPr>
            <w:tcW w:type="dxa" w:w="2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Cash generation</w:t>
            </w:r>
          </w:p>
        </w:tc>
        <w:tc>
          <w:tcPr>
            <w:tcW w:type="dxa" w:w="49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Free cash flow</w:t>
            </w:r>
          </w:p>
        </w:tc>
        <w:tc>
          <w:tcPr>
            <w:tcW w:type="dxa" w:w="2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r>
    </w:tbl>
    <w:p>
      <w:pPr>
        <w:spacing w:after="80"/>
      </w:pPr>
    </w:p>
    <w:p>
      <w:pPr>
        <w:spacing w:after="120"/>
      </w:pPr>
      <w:r>
        <w:rPr>
          <w:b w:val="false"/>
          <w:bCs w:val="false"/>
          <w:i w:val="false"/>
          <w:iCs w:val="false"/>
          <w:sz w:val="20"/>
          <w:szCs w:val="20"/>
        </w:rPr>
        <w:t xml:space="preserve">Group-only rows are left blank and badged "Group only" in a unit view, rather than showing a number that would not mean anything — they depend on pooled cash and on borrowings raised by the company, not the unit.</w:t>
      </w:r>
    </w:p>
    <w:p>
      <w:pPr>
        <w:spacing w:after="120"/>
      </w:pPr>
      <w:r>
        <w:rPr>
          <w:b w:val="false"/>
          <w:bCs w:val="false"/>
          <w:i w:val="false"/>
          <w:iCs w:val="false"/>
          <w:sz w:val="20"/>
          <w:szCs w:val="20"/>
        </w:rPr>
        <w:t xml:space="preserve">Two further panels: Investment appraisal (per initiative and for the portfolio: capital, NPV, IRR, payback, profitability index) and Break-even point for the final forecast year, with the full basis shown so the figure can be checked by hand.</w:t>
      </w:r>
    </w:p>
    <w:p>
      <w:pPr>
        <w:pStyle w:val="Heading3"/>
        <w:spacing w:after="100" w:before="220"/>
      </w:pPr>
      <w:r>
        <w:t xml:space="preserve">Sensitivity  —  /outputs/sensitivity</w:t>
      </w:r>
    </w:p>
    <w:p>
      <w:pPr>
        <w:spacing w:after="120"/>
      </w:pPr>
      <w:r>
        <w:rPr>
          <w:b w:val="false"/>
          <w:bCs w:val="false"/>
          <w:i w:val="false"/>
          <w:iCs w:val="false"/>
          <w:sz w:val="20"/>
          <w:szCs w:val="20"/>
        </w:rPr>
        <w:t xml:space="preserve">Two flex tables at seven points — −20%, −10%, −5%, 0, +5%, +10%, +20% — one flexing every unit's growth rate, one flexing every unit's cost-of-sales ratio. Each row reports revenue, EBITDA, net income and closing cash for the FINAL forecast year. Plus a full best/base/worst comparison across all years, and four charts.</w:t>
      </w:r>
    </w:p>
    <w:tbl>
      <w:tblPr>
        <w:tblW w:type="dxa" w:w="9360"/>
        <w:tblBorders>
          <w:top w:val="single" w:color="D5DEE8" w:sz="2"/>
          <w:left w:val="single" w:color="2E5C8A" w:sz="12"/>
          <w:bottom w:val="single" w:color="D5DEE8" w:sz="2"/>
          <w:right w:val="single" w:color="D5DEE8" w:sz="2"/>
          <w:insideH w:val="none"/>
          <w:insideV w:val="none"/>
        </w:tblBorders>
      </w:tblPr>
      <w:tblGrid>
        <w:gridCol w:w="9360"/>
      </w:tblGrid>
      <w:tr>
        <w:tc>
          <w:tcPr>
            <w:tcW w:type="dxa" w:w="9360"/>
            <w:shd w:fill="EDF2F8" w:val="clear"/>
            <w:tcMar>
              <w:top w:type="dxa" w:w="120"/>
              <w:left w:type="dxa" w:w="180"/>
              <w:bottom w:type="dxa" w:w="120"/>
              <w:right w:type="dxa" w:w="180"/>
            </w:tcMar>
          </w:tcPr>
          <w:p>
            <w:pPr>
              <w:spacing w:after="60"/>
            </w:pPr>
            <w:r>
              <w:rPr>
                <w:b/>
                <w:bCs/>
                <w:color w:val="1F3864"/>
                <w:sz w:val="20"/>
                <w:szCs w:val="20"/>
              </w:rPr>
              <w:t xml:space="preserve">What the delta actually does</w:t>
            </w:r>
          </w:p>
          <w:p>
            <w:pPr>
              <w:spacing w:after="60"/>
            </w:pPr>
            <w:r>
              <w:rPr>
                <w:sz w:val="19"/>
                <w:szCs w:val="19"/>
              </w:rPr>
              <w:t xml:space="preserve">The delta is RELATIVE, not absolute. −20% on a growth rate of 5% gives 4%, not −15%. A model whose growth rates are all zero will show a completely flat growth-sensitivity table — which is correct behaviour, not a bug.</w:t>
            </w:r>
          </w:p>
          <w:p>
            <w:pPr>
              <w:spacing w:after="0"/>
            </w:pPr>
            <w:r>
              <w:rPr>
                <w:sz w:val="19"/>
                <w:szCs w:val="19"/>
              </w:rPr>
              <w:t xml:space="preserve">Sensitivity runs the whole engine 17 times (7 + 7 + 3). It is the slowest page in the system and the right place for a response-time check.</w:t>
            </w:r>
          </w:p>
        </w:tc>
      </w:tr>
    </w:tbl>
    <w:p>
      <w:pPr>
        <w:spacing w:after="120"/>
      </w:pPr>
    </w:p>
    <w:p>
      <w:pPr>
        <w:pStyle w:val="Heading2"/>
        <w:spacing w:after="120" w:before="280"/>
      </w:pPr>
      <w:r>
        <w:t xml:space="preserve">2.19  Model comparison  —  /compare</w:t>
      </w:r>
    </w:p>
    <w:p>
      <w:pPr>
        <w:spacing w:after="120"/>
      </w:pPr>
      <w:r>
        <w:rPr>
          <w:b w:val="false"/>
          <w:bCs w:val="false"/>
          <w:i w:val="false"/>
          <w:iCs w:val="false"/>
          <w:sz w:val="20"/>
          <w:szCs w:val="20"/>
        </w:rPr>
        <w:t xml:space="preserve">Purpose: line up two to four models side by side at the same scenario, with the deviation of each against the first one selected.</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850"/>
        <w:gridCol w:w="1000"/>
        <w:gridCol w:w="620"/>
        <w:gridCol w:w="2100"/>
        <w:gridCol w:w="2440"/>
        <w:gridCol w:w="1350"/>
      </w:tblGrid>
      <w:tr>
        <w:trPr>
          <w:tblHeader/>
        </w:trPr>
        <w:tc>
          <w:tcPr>
            <w:tcW w:type="dxa" w:w="1850"/>
            <w:shd w:fill="1F3864" w:val="clear"/>
            <w:tcMar>
              <w:top w:type="dxa" w:w="70"/>
              <w:left w:type="dxa" w:w="110"/>
              <w:bottom w:type="dxa" w:w="70"/>
              <w:right w:type="dxa" w:w="110"/>
            </w:tcMar>
          </w:tcPr>
          <w:p>
            <w:pPr>
              <w:spacing w:after="0"/>
            </w:pPr>
            <w:r>
              <w:rPr>
                <w:b/>
                <w:bCs/>
                <w:i w:val="false"/>
                <w:iCs w:val="false"/>
                <w:color w:val="FFFFFF"/>
                <w:sz w:val="18"/>
                <w:szCs w:val="18"/>
              </w:rPr>
              <w:t xml:space="preserve">Field</w:t>
            </w:r>
          </w:p>
        </w:tc>
        <w:tc>
          <w:tcPr>
            <w:tcW w:type="dxa" w:w="1000"/>
            <w:shd w:fill="1F3864" w:val="clear"/>
            <w:tcMar>
              <w:top w:type="dxa" w:w="70"/>
              <w:left w:type="dxa" w:w="110"/>
              <w:bottom w:type="dxa" w:w="70"/>
              <w:right w:type="dxa" w:w="110"/>
            </w:tcMar>
          </w:tcPr>
          <w:p>
            <w:pPr>
              <w:spacing w:after="0"/>
            </w:pPr>
            <w:r>
              <w:rPr>
                <w:b/>
                <w:bCs/>
                <w:i w:val="false"/>
                <w:iCs w:val="false"/>
                <w:color w:val="FFFFFF"/>
                <w:sz w:val="18"/>
                <w:szCs w:val="18"/>
              </w:rPr>
              <w:t xml:space="preserve">Type</w:t>
            </w:r>
          </w:p>
        </w:tc>
        <w:tc>
          <w:tcPr>
            <w:tcW w:type="dxa" w:w="620"/>
            <w:shd w:fill="1F3864" w:val="clear"/>
            <w:tcMar>
              <w:top w:type="dxa" w:w="70"/>
              <w:left w:type="dxa" w:w="110"/>
              <w:bottom w:type="dxa" w:w="70"/>
              <w:right w:type="dxa" w:w="110"/>
            </w:tcMar>
          </w:tcPr>
          <w:p>
            <w:pPr>
              <w:spacing w:after="0"/>
            </w:pPr>
            <w:r>
              <w:rPr>
                <w:b/>
                <w:bCs/>
                <w:i w:val="false"/>
                <w:iCs w:val="false"/>
                <w:color w:val="FFFFFF"/>
                <w:sz w:val="18"/>
                <w:szCs w:val="18"/>
              </w:rPr>
              <w:t xml:space="preserve">Req.</w:t>
            </w:r>
          </w:p>
        </w:tc>
        <w:tc>
          <w:tcPr>
            <w:tcW w:type="dxa" w:w="2100"/>
            <w:shd w:fill="1F3864" w:val="clear"/>
            <w:tcMar>
              <w:top w:type="dxa" w:w="70"/>
              <w:left w:type="dxa" w:w="110"/>
              <w:bottom w:type="dxa" w:w="70"/>
              <w:right w:type="dxa" w:w="110"/>
            </w:tcMar>
          </w:tcPr>
          <w:p>
            <w:pPr>
              <w:spacing w:after="0"/>
            </w:pPr>
            <w:r>
              <w:rPr>
                <w:b/>
                <w:bCs/>
                <w:i w:val="false"/>
                <w:iCs w:val="false"/>
                <w:color w:val="FFFFFF"/>
                <w:sz w:val="18"/>
                <w:szCs w:val="18"/>
              </w:rPr>
              <w:t xml:space="preserve">Accepted values / format</w:t>
            </w:r>
          </w:p>
        </w:tc>
        <w:tc>
          <w:tcPr>
            <w:tcW w:type="dxa" w:w="2440"/>
            <w:shd w:fill="1F3864" w:val="clear"/>
            <w:tcMar>
              <w:top w:type="dxa" w:w="70"/>
              <w:left w:type="dxa" w:w="110"/>
              <w:bottom w:type="dxa" w:w="70"/>
              <w:right w:type="dxa" w:w="110"/>
            </w:tcMar>
          </w:tcPr>
          <w:p>
            <w:pPr>
              <w:spacing w:after="0"/>
            </w:pPr>
            <w:r>
              <w:rPr>
                <w:b/>
                <w:bCs/>
                <w:i w:val="false"/>
                <w:iCs w:val="false"/>
                <w:color w:val="FFFFFF"/>
                <w:sz w:val="18"/>
                <w:szCs w:val="18"/>
              </w:rPr>
              <w:t xml:space="preserve">Validation &amp; limits</w:t>
            </w:r>
          </w:p>
        </w:tc>
        <w:tc>
          <w:tcPr>
            <w:tcW w:type="dxa" w:w="1350"/>
            <w:shd w:fill="1F3864" w:val="clear"/>
            <w:tcMar>
              <w:top w:type="dxa" w:w="70"/>
              <w:left w:type="dxa" w:w="110"/>
              <w:bottom w:type="dxa" w:w="70"/>
              <w:right w:type="dxa" w:w="110"/>
            </w:tcMar>
          </w:tcPr>
          <w:p>
            <w:pPr>
              <w:spacing w:after="0"/>
            </w:pPr>
            <w:r>
              <w:rPr>
                <w:b/>
                <w:bCs/>
                <w:i w:val="false"/>
                <w:iCs w:val="false"/>
                <w:color w:val="FFFFFF"/>
                <w:sz w:val="18"/>
                <w:szCs w:val="18"/>
              </w:rPr>
              <w:t xml:space="preserve">Default</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Models to compare</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Checkboxes / multi-select</w:t>
            </w:r>
          </w:p>
        </w:tc>
        <w:tc>
          <w:tcPr>
            <w:tcW w:type="dxa" w:w="620"/>
            <w:shd w:fill="FFFFFF" w:val="clear"/>
            <w:tcMar>
              <w:top w:type="dxa" w:w="70"/>
              <w:left w:type="dxa" w:w="110"/>
              <w:bottom w:type="dxa" w:w="70"/>
              <w:right w:type="dxa" w:w="110"/>
            </w:tcMar>
          </w:tcPr>
          <w:p>
            <w:pPr>
              <w:spacing w:after="0"/>
            </w:pPr>
            <w:r>
              <w:rPr>
                <w:b/>
                <w:bCs/>
                <w:i w:val="false"/>
                <w:iCs w:val="false"/>
                <w:color w:val="000000"/>
                <w:sz w:val="18"/>
                <w:szCs w:val="18"/>
              </w:rPr>
              <w:t xml:space="preserve">Yes</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Two to four non-archived models from this company.</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Ids that do not belong to this company are silently filtered out. Fewer than two valid selections falls back to the first two models in the list. More than four are truncated to four.</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first two models</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Scenario</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Best / Base / Worst.</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Invalid falls back to "base" — note this differs from the output screens, which fall back to the model's own default.</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base</w:t>
            </w:r>
          </w:p>
        </w:tc>
      </w:tr>
    </w:tbl>
    <w:p>
      <w:pPr>
        <w:spacing w:after="80"/>
      </w:pPr>
    </w:p>
    <w:p>
      <w:pPr>
        <w:spacing w:after="120"/>
      </w:pPr>
      <w:r>
        <w:rPr>
          <w:b w:val="false"/>
          <w:bCs w:val="false"/>
          <w:i w:val="false"/>
          <w:iCs w:val="false"/>
          <w:sz w:val="20"/>
          <w:szCs w:val="20"/>
        </w:rPr>
        <w:t xml:space="preserve">Thirteen headline measures are compared at each model's own final forecast year: total revenue (split organic and initiatives), gross profit, EBITDA and margin, EBIT, net profit and margin, closing cash, net debt, free cash flow, cash conversion cycle. A second table compares strategic initiatives across the models, with a dash where an initiative exists in one model and not another.</w:t>
      </w:r>
    </w:p>
    <w:p>
      <w:pPr>
        <w:spacing w:after="120"/>
      </w:pPr>
      <w:r>
        <w:rPr>
          <w:b w:val="false"/>
          <w:bCs w:val="false"/>
          <w:i w:val="false"/>
          <w:iCs w:val="false"/>
          <w:sz w:val="20"/>
          <w:szCs w:val="20"/>
        </w:rPr>
        <w:t xml:space="preserve">If the company holds only one active model, a banner says "Two models are needed" and links to the Models screen. Archived models never appear.</w:t>
      </w:r>
    </w:p>
    <w:p>
      <w:pPr>
        <w:spacing w:after="120"/>
      </w:pPr>
      <w:r>
        <w:rPr>
          <w:b w:val="false"/>
          <w:bCs w:val="false"/>
          <w:i w:val="false"/>
          <w:iCs w:val="false"/>
          <w:sz w:val="20"/>
          <w:szCs w:val="20"/>
        </w:rPr>
        <w:t xml:space="preserve">Accessible to every role including Board / outputs-only. There is nothing to edit.</w:t>
      </w:r>
    </w:p>
    <w:p>
      <w:pPr>
        <w:spacing w:after="120"/>
      </w:pPr>
    </w:p>
    <w:p>
      <w:pPr>
        <w:pStyle w:val="Heading2"/>
        <w:spacing w:after="120" w:before="280"/>
      </w:pPr>
      <w:r>
        <w:t xml:space="preserve">2.20  Report  —  /report</w:t>
      </w:r>
    </w:p>
    <w:p>
      <w:pPr>
        <w:spacing w:after="120"/>
      </w:pPr>
      <w:r>
        <w:rPr>
          <w:b w:val="false"/>
          <w:bCs w:val="false"/>
          <w:i w:val="false"/>
          <w:iCs w:val="false"/>
          <w:sz w:val="20"/>
          <w:szCs w:val="20"/>
        </w:rPr>
        <w:t xml:space="preserve">Purpose: assemble a printable pack. It is a normal web page rather than a generated PDF, so it prints correctly from the browser, reads on a phone, and cannot disagree with the screens.</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850"/>
        <w:gridCol w:w="1000"/>
        <w:gridCol w:w="620"/>
        <w:gridCol w:w="2100"/>
        <w:gridCol w:w="2440"/>
        <w:gridCol w:w="1350"/>
      </w:tblGrid>
      <w:tr>
        <w:trPr>
          <w:tblHeader/>
        </w:trPr>
        <w:tc>
          <w:tcPr>
            <w:tcW w:type="dxa" w:w="1850"/>
            <w:shd w:fill="1F3864" w:val="clear"/>
            <w:tcMar>
              <w:top w:type="dxa" w:w="70"/>
              <w:left w:type="dxa" w:w="110"/>
              <w:bottom w:type="dxa" w:w="70"/>
              <w:right w:type="dxa" w:w="110"/>
            </w:tcMar>
          </w:tcPr>
          <w:p>
            <w:pPr>
              <w:spacing w:after="0"/>
            </w:pPr>
            <w:r>
              <w:rPr>
                <w:b/>
                <w:bCs/>
                <w:i w:val="false"/>
                <w:iCs w:val="false"/>
                <w:color w:val="FFFFFF"/>
                <w:sz w:val="18"/>
                <w:szCs w:val="18"/>
              </w:rPr>
              <w:t xml:space="preserve">Field</w:t>
            </w:r>
          </w:p>
        </w:tc>
        <w:tc>
          <w:tcPr>
            <w:tcW w:type="dxa" w:w="1000"/>
            <w:shd w:fill="1F3864" w:val="clear"/>
            <w:tcMar>
              <w:top w:type="dxa" w:w="70"/>
              <w:left w:type="dxa" w:w="110"/>
              <w:bottom w:type="dxa" w:w="70"/>
              <w:right w:type="dxa" w:w="110"/>
            </w:tcMar>
          </w:tcPr>
          <w:p>
            <w:pPr>
              <w:spacing w:after="0"/>
            </w:pPr>
            <w:r>
              <w:rPr>
                <w:b/>
                <w:bCs/>
                <w:i w:val="false"/>
                <w:iCs w:val="false"/>
                <w:color w:val="FFFFFF"/>
                <w:sz w:val="18"/>
                <w:szCs w:val="18"/>
              </w:rPr>
              <w:t xml:space="preserve">Type</w:t>
            </w:r>
          </w:p>
        </w:tc>
        <w:tc>
          <w:tcPr>
            <w:tcW w:type="dxa" w:w="620"/>
            <w:shd w:fill="1F3864" w:val="clear"/>
            <w:tcMar>
              <w:top w:type="dxa" w:w="70"/>
              <w:left w:type="dxa" w:w="110"/>
              <w:bottom w:type="dxa" w:w="70"/>
              <w:right w:type="dxa" w:w="110"/>
            </w:tcMar>
          </w:tcPr>
          <w:p>
            <w:pPr>
              <w:spacing w:after="0"/>
            </w:pPr>
            <w:r>
              <w:rPr>
                <w:b/>
                <w:bCs/>
                <w:i w:val="false"/>
                <w:iCs w:val="false"/>
                <w:color w:val="FFFFFF"/>
                <w:sz w:val="18"/>
                <w:szCs w:val="18"/>
              </w:rPr>
              <w:t xml:space="preserve">Req.</w:t>
            </w:r>
          </w:p>
        </w:tc>
        <w:tc>
          <w:tcPr>
            <w:tcW w:type="dxa" w:w="2100"/>
            <w:shd w:fill="1F3864" w:val="clear"/>
            <w:tcMar>
              <w:top w:type="dxa" w:w="70"/>
              <w:left w:type="dxa" w:w="110"/>
              <w:bottom w:type="dxa" w:w="70"/>
              <w:right w:type="dxa" w:w="110"/>
            </w:tcMar>
          </w:tcPr>
          <w:p>
            <w:pPr>
              <w:spacing w:after="0"/>
            </w:pPr>
            <w:r>
              <w:rPr>
                <w:b/>
                <w:bCs/>
                <w:i w:val="false"/>
                <w:iCs w:val="false"/>
                <w:color w:val="FFFFFF"/>
                <w:sz w:val="18"/>
                <w:szCs w:val="18"/>
              </w:rPr>
              <w:t xml:space="preserve">Accepted values / format</w:t>
            </w:r>
          </w:p>
        </w:tc>
        <w:tc>
          <w:tcPr>
            <w:tcW w:type="dxa" w:w="2440"/>
            <w:shd w:fill="1F3864" w:val="clear"/>
            <w:tcMar>
              <w:top w:type="dxa" w:w="70"/>
              <w:left w:type="dxa" w:w="110"/>
              <w:bottom w:type="dxa" w:w="70"/>
              <w:right w:type="dxa" w:w="110"/>
            </w:tcMar>
          </w:tcPr>
          <w:p>
            <w:pPr>
              <w:spacing w:after="0"/>
            </w:pPr>
            <w:r>
              <w:rPr>
                <w:b/>
                <w:bCs/>
                <w:i w:val="false"/>
                <w:iCs w:val="false"/>
                <w:color w:val="FFFFFF"/>
                <w:sz w:val="18"/>
                <w:szCs w:val="18"/>
              </w:rPr>
              <w:t xml:space="preserve">Validation &amp; limits</w:t>
            </w:r>
          </w:p>
        </w:tc>
        <w:tc>
          <w:tcPr>
            <w:tcW w:type="dxa" w:w="1350"/>
            <w:shd w:fill="1F3864" w:val="clear"/>
            <w:tcMar>
              <w:top w:type="dxa" w:w="70"/>
              <w:left w:type="dxa" w:w="110"/>
              <w:bottom w:type="dxa" w:w="70"/>
              <w:right w:type="dxa" w:w="110"/>
            </w:tcMar>
          </w:tcPr>
          <w:p>
            <w:pPr>
              <w:spacing w:after="0"/>
            </w:pPr>
            <w:r>
              <w:rPr>
                <w:b/>
                <w:bCs/>
                <w:i w:val="false"/>
                <w:iCs w:val="false"/>
                <w:color w:val="FFFFFF"/>
                <w:sz w:val="18"/>
                <w:szCs w:val="18"/>
              </w:rPr>
              <w:t xml:space="preserve">Default</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Sections</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Checkboxes</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Executive summary (always included) · Income statement · Balance sheet · Cash flow statement · Ratios · Revenue mix · Strategic initiatives · Depreciation &amp; capital expenditure · Debt &amp; financing · Integrity checks.</w:t>
            </w:r>
          </w:p>
        </w:tc>
        <w:tc>
          <w:tcPr>
            <w:tcW w:type="dxa" w:w="2440"/>
            <w:shd w:fill="FFFFFF" w:val="clear"/>
            <w:tcMar>
              <w:top w:type="dxa" w:w="70"/>
              <w:left w:type="dxa" w:w="110"/>
              <w:bottom w:type="dxa" w:w="70"/>
              <w:right w:type="dxa" w:w="110"/>
            </w:tcMar>
          </w:tcPr>
          <w:p>
            <w:pPr>
              <w:spacing w:after="40"/>
            </w:pPr>
            <w:r>
              <w:rPr>
                <w:b w:val="false"/>
                <w:bCs w:val="false"/>
                <w:i w:val="false"/>
                <w:iCs w:val="false"/>
                <w:color w:val="000000"/>
                <w:sz w:val="18"/>
                <w:szCs w:val="18"/>
              </w:rPr>
              <w:t xml:space="preserve">Passed as ?sections=. Unknown keys are discarded. "Executive summary" is force-added whatever is posted.</w:t>
            </w:r>
          </w:p>
          <w:p>
            <w:pPr>
              <w:spacing w:after="0"/>
            </w:pPr>
            <w:r>
              <w:rPr>
                <w:b w:val="false"/>
                <w:bCs w:val="false"/>
                <w:i w:val="false"/>
                <w:iCs w:val="false"/>
                <w:color w:val="000000"/>
                <w:sz w:val="18"/>
                <w:szCs w:val="18"/>
              </w:rPr>
              <w:t xml:space="preserve">With no sections parameter at all, the default set is Income statement, Balance sheet, Cash flow, Ratios, Checks — plus the summary.</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five defaults + summary</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Scenario</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Best / Base / Worst.</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Invalid falls back to the model's default scenario.</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Model default</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Currency</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One of the 15 codes.</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Passed as ?currency=; otherwise the session currency, otherwise the model currency.</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Session / model currency</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Print</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Button / ?print=1</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Opens the browser print dialog; ?print=1 renders the print layout directly.</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w:t>
            </w:r>
          </w:p>
        </w:tc>
      </w:tr>
    </w:tbl>
    <w:p>
      <w:pPr>
        <w:spacing w:after="80"/>
      </w:pPr>
    </w:p>
    <w:p>
      <w:pPr>
        <w:spacing w:after="120"/>
      </w:pPr>
      <w:r>
        <w:rPr>
          <w:b w:val="false"/>
          <w:bCs w:val="false"/>
          <w:i w:val="false"/>
          <w:iCs w:val="false"/>
          <w:sz w:val="20"/>
          <w:szCs w:val="20"/>
        </w:rPr>
        <w:t xml:space="preserve">The executive summary carries eight headline figures for the final forecast year — revenue, EBITDA, EBITDA margin, net profit, closing cash, net debt, total assets, return on equity — read from the same engine result the dashboard uses, so the pack and the screen can never disagree. Written commentary is generated for each included table.</w:t>
      </w:r>
    </w:p>
    <w:p>
      <w:pPr>
        <w:spacing w:after="120"/>
      </w:pPr>
      <w:r>
        <w:rPr>
          <w:b w:val="false"/>
          <w:bCs w:val="false"/>
          <w:i w:val="false"/>
          <w:iCs w:val="false"/>
          <w:sz w:val="20"/>
          <w:szCs w:val="20"/>
        </w:rPr>
        <w:t xml:space="preserve">Always group-level: the report has no business-unit selector.</w:t>
      </w:r>
    </w:p>
    <w:p>
      <w:pPr>
        <w:spacing w:after="120"/>
      </w:pPr>
    </w:p>
    <w:p>
      <w:pPr>
        <w:pStyle w:val="Heading2"/>
        <w:spacing w:after="120" w:before="280"/>
      </w:pPr>
      <w:r>
        <w:t xml:space="preserve">2.21  Data import  —  /data</w:t>
      </w:r>
    </w:p>
    <w:p>
      <w:pPr>
        <w:spacing w:after="120"/>
      </w:pPr>
      <w:r>
        <w:rPr>
          <w:b w:val="false"/>
          <w:bCs w:val="false"/>
          <w:i w:val="false"/>
          <w:iCs w:val="false"/>
          <w:sz w:val="20"/>
          <w:szCs w:val="20"/>
        </w:rPr>
        <w:t xml:space="preserve">Purpose: get data into the model in bulk, from a spreadsheet or from an ERP. One rule governs both paths: data arrives, a person reads it, and only an explicit approval writes it into the model. Nothing is ever imported automatically.</w:t>
      </w:r>
    </w:p>
    <w:p>
      <w:pPr>
        <w:spacing w:after="120"/>
      </w:pPr>
      <w:r>
        <w:rPr>
          <w:b w:val="false"/>
          <w:bCs w:val="false"/>
          <w:i w:val="false"/>
          <w:iCs w:val="false"/>
          <w:sz w:val="20"/>
          <w:szCs w:val="20"/>
        </w:rPr>
        <w:t xml:space="preserve">Access: Administrator, Model manager and Analyst can open the page (Analyst read-only — every action returns 403). The Board / outputs-only role gets 403 on the page itself.</w:t>
      </w:r>
    </w:p>
    <w:p>
      <w:pPr>
        <w:pStyle w:val="Heading3"/>
        <w:spacing w:after="100" w:before="220"/>
      </w:pPr>
      <w:r>
        <w:t xml:space="preserve">Panel A — Spreadsheet templates (download)</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900"/>
        <w:gridCol w:w="3600"/>
        <w:gridCol w:w="3860"/>
      </w:tblGrid>
      <w:tr>
        <w:trPr>
          <w:tblHeader/>
        </w:trPr>
        <w:tc>
          <w:tcPr>
            <w:tcW w:type="dxa" w:w="1900"/>
            <w:shd w:fill="1F3864" w:val="clear"/>
            <w:tcMar>
              <w:top w:type="dxa" w:w="70"/>
              <w:left w:type="dxa" w:w="110"/>
              <w:bottom w:type="dxa" w:w="70"/>
              <w:right w:type="dxa" w:w="110"/>
            </w:tcMar>
          </w:tcPr>
          <w:p>
            <w:pPr>
              <w:spacing w:after="0"/>
            </w:pPr>
            <w:r>
              <w:rPr>
                <w:b/>
                <w:bCs/>
                <w:i w:val="false"/>
                <w:iCs w:val="false"/>
                <w:color w:val="FFFFFF"/>
                <w:sz w:val="18"/>
                <w:szCs w:val="18"/>
              </w:rPr>
              <w:t xml:space="preserve">Template</w:t>
            </w:r>
          </w:p>
        </w:tc>
        <w:tc>
          <w:tcPr>
            <w:tcW w:type="dxa" w:w="3600"/>
            <w:shd w:fill="1F3864" w:val="clear"/>
            <w:tcMar>
              <w:top w:type="dxa" w:w="70"/>
              <w:left w:type="dxa" w:w="110"/>
              <w:bottom w:type="dxa" w:w="70"/>
              <w:right w:type="dxa" w:w="110"/>
            </w:tcMar>
          </w:tcPr>
          <w:p>
            <w:pPr>
              <w:spacing w:after="0"/>
            </w:pPr>
            <w:r>
              <w:rPr>
                <w:b/>
                <w:bCs/>
                <w:i w:val="false"/>
                <w:iCs w:val="false"/>
                <w:color w:val="FFFFFF"/>
                <w:sz w:val="18"/>
                <w:szCs w:val="18"/>
              </w:rPr>
              <w:t xml:space="preserve">Shape</w:t>
            </w:r>
          </w:p>
        </w:tc>
        <w:tc>
          <w:tcPr>
            <w:tcW w:type="dxa" w:w="3860"/>
            <w:shd w:fill="1F3864" w:val="clear"/>
            <w:tcMar>
              <w:top w:type="dxa" w:w="70"/>
              <w:left w:type="dxa" w:w="110"/>
              <w:bottom w:type="dxa" w:w="70"/>
              <w:right w:type="dxa" w:w="110"/>
            </w:tcMar>
          </w:tcPr>
          <w:p>
            <w:pPr>
              <w:spacing w:after="0"/>
            </w:pPr>
            <w:r>
              <w:rPr>
                <w:b/>
                <w:bCs/>
                <w:i w:val="false"/>
                <w:iCs w:val="false"/>
                <w:color w:val="FFFFFF"/>
                <w:sz w:val="18"/>
                <w:szCs w:val="18"/>
              </w:rPr>
              <w:t xml:space="preserve">Lines it carries</w:t>
            </w:r>
          </w:p>
        </w:tc>
      </w:tr>
      <w:tr>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Historical data</w:t>
            </w:r>
          </w:p>
        </w:tc>
        <w:tc>
          <w:tcPr>
            <w:tcW w:type="dxa" w:w="36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One row per business unit × line; one column per CLOSED year.</w:t>
            </w:r>
          </w:p>
        </w:tc>
        <w:tc>
          <w:tcPr>
            <w:tcW w:type="dxa" w:w="38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Revenue, Cost of sales, Selling &amp; distribution, General &amp; administrative</w:t>
            </w:r>
          </w:p>
        </w:tc>
      </w:tr>
      <w:tr>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Growth drivers</w:t>
            </w:r>
          </w:p>
        </w:tc>
        <w:tc>
          <w:tcPr>
            <w:tcW w:type="dxa" w:w="36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One row per unit × scenario × line; one column per FORECAST year.</w:t>
            </w:r>
          </w:p>
        </w:tc>
        <w:tc>
          <w:tcPr>
            <w:tcW w:type="dxa" w:w="38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Revenue growth %</w:t>
            </w:r>
          </w:p>
        </w:tc>
      </w:tr>
      <w:tr>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Cost drivers</w:t>
            </w:r>
          </w:p>
        </w:tc>
        <w:tc>
          <w:tcPr>
            <w:tcW w:type="dxa" w:w="36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One row per unit × scenario × line; one column per FORECAST year.</w:t>
            </w:r>
          </w:p>
        </w:tc>
        <w:tc>
          <w:tcPr>
            <w:tcW w:type="dxa" w:w="38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Cost of sales %, Selling &amp; distribution %, General &amp; administrative %</w:t>
            </w:r>
          </w:p>
        </w:tc>
      </w:tr>
    </w:tbl>
    <w:p>
      <w:pPr>
        <w:spacing w:after="80"/>
      </w:pPr>
    </w:p>
    <w:p>
      <w:pPr>
        <w:pStyle w:val="ListParagraph"/>
        <w:numPr>
          <w:ilvl w:val="0"/>
          <w:numId w:val="3"/>
        </w:numPr>
        <w:spacing w:after="60"/>
      </w:pPr>
      <w:r>
        <w:rPr>
          <w:sz w:val="20"/>
          <w:szCs w:val="20"/>
        </w:rPr>
        <w:t xml:space="preserve">Available as .xlsx (a real workbook with sized columns) and .csv (UTF-8 with a byte-order mark so Excel opens Arabic unit names correctly).</w:t>
      </w:r>
    </w:p>
    <w:p>
      <w:pPr>
        <w:pStyle w:val="ListParagraph"/>
        <w:numPr>
          <w:ilvl w:val="0"/>
          <w:numId w:val="3"/>
        </w:numPr>
        <w:spacing w:after="60"/>
      </w:pPr>
      <w:r>
        <w:rPr>
          <w:sz w:val="20"/>
          <w:szCs w:val="20"/>
        </w:rPr>
        <w:t xml:space="preserve">URLs: /data/template/&lt;kind&gt;.xlsx and /data/template/&lt;kind&gt;.csv. An unknown kind returns 404 "No template of that name."</w:t>
      </w:r>
    </w:p>
    <w:p>
      <w:pPr>
        <w:pStyle w:val="ListParagraph"/>
        <w:numPr>
          <w:ilvl w:val="0"/>
          <w:numId w:val="3"/>
        </w:numPr>
        <w:spacing w:after="60"/>
      </w:pPr>
      <w:r>
        <w:rPr>
          <w:sz w:val="20"/>
          <w:szCs w:val="20"/>
        </w:rPr>
        <w:t xml:space="preserve">The template is pre-populated with THIS model's unit names and year columns, so the user fills in figures rather than reconstructing the shape.</w:t>
      </w:r>
    </w:p>
    <w:p>
      <w:pPr>
        <w:pStyle w:val="ListParagraph"/>
        <w:numPr>
          <w:ilvl w:val="0"/>
          <w:numId w:val="3"/>
        </w:numPr>
        <w:spacing w:after="60"/>
      </w:pPr>
      <w:r>
        <w:rPr>
          <w:sz w:val="20"/>
          <w:szCs w:val="20"/>
        </w:rPr>
        <w:t xml:space="preserve">Note the templates cover only four of the six historical lines — depreciation and capex actuals cannot be imported, only typed on step 4.</w:t>
      </w:r>
    </w:p>
    <w:p>
      <w:pPr>
        <w:spacing w:after="80"/>
      </w:pPr>
    </w:p>
    <w:p>
      <w:pPr>
        <w:pStyle w:val="Heading3"/>
        <w:spacing w:after="100" w:before="220"/>
      </w:pPr>
      <w:r>
        <w:t xml:space="preserve">Panel B — Upload a filled-in template</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850"/>
        <w:gridCol w:w="1000"/>
        <w:gridCol w:w="620"/>
        <w:gridCol w:w="2100"/>
        <w:gridCol w:w="2440"/>
        <w:gridCol w:w="1350"/>
      </w:tblGrid>
      <w:tr>
        <w:trPr>
          <w:tblHeader/>
        </w:trPr>
        <w:tc>
          <w:tcPr>
            <w:tcW w:type="dxa" w:w="1850"/>
            <w:shd w:fill="1F3864" w:val="clear"/>
            <w:tcMar>
              <w:top w:type="dxa" w:w="70"/>
              <w:left w:type="dxa" w:w="110"/>
              <w:bottom w:type="dxa" w:w="70"/>
              <w:right w:type="dxa" w:w="110"/>
            </w:tcMar>
          </w:tcPr>
          <w:p>
            <w:pPr>
              <w:spacing w:after="0"/>
            </w:pPr>
            <w:r>
              <w:rPr>
                <w:b/>
                <w:bCs/>
                <w:i w:val="false"/>
                <w:iCs w:val="false"/>
                <w:color w:val="FFFFFF"/>
                <w:sz w:val="18"/>
                <w:szCs w:val="18"/>
              </w:rPr>
              <w:t xml:space="preserve">Field</w:t>
            </w:r>
          </w:p>
        </w:tc>
        <w:tc>
          <w:tcPr>
            <w:tcW w:type="dxa" w:w="1000"/>
            <w:shd w:fill="1F3864" w:val="clear"/>
            <w:tcMar>
              <w:top w:type="dxa" w:w="70"/>
              <w:left w:type="dxa" w:w="110"/>
              <w:bottom w:type="dxa" w:w="70"/>
              <w:right w:type="dxa" w:w="110"/>
            </w:tcMar>
          </w:tcPr>
          <w:p>
            <w:pPr>
              <w:spacing w:after="0"/>
            </w:pPr>
            <w:r>
              <w:rPr>
                <w:b/>
                <w:bCs/>
                <w:i w:val="false"/>
                <w:iCs w:val="false"/>
                <w:color w:val="FFFFFF"/>
                <w:sz w:val="18"/>
                <w:szCs w:val="18"/>
              </w:rPr>
              <w:t xml:space="preserve">Type</w:t>
            </w:r>
          </w:p>
        </w:tc>
        <w:tc>
          <w:tcPr>
            <w:tcW w:type="dxa" w:w="620"/>
            <w:shd w:fill="1F3864" w:val="clear"/>
            <w:tcMar>
              <w:top w:type="dxa" w:w="70"/>
              <w:left w:type="dxa" w:w="110"/>
              <w:bottom w:type="dxa" w:w="70"/>
              <w:right w:type="dxa" w:w="110"/>
            </w:tcMar>
          </w:tcPr>
          <w:p>
            <w:pPr>
              <w:spacing w:after="0"/>
            </w:pPr>
            <w:r>
              <w:rPr>
                <w:b/>
                <w:bCs/>
                <w:i w:val="false"/>
                <w:iCs w:val="false"/>
                <w:color w:val="FFFFFF"/>
                <w:sz w:val="18"/>
                <w:szCs w:val="18"/>
              </w:rPr>
              <w:t xml:space="preserve">Req.</w:t>
            </w:r>
          </w:p>
        </w:tc>
        <w:tc>
          <w:tcPr>
            <w:tcW w:type="dxa" w:w="2100"/>
            <w:shd w:fill="1F3864" w:val="clear"/>
            <w:tcMar>
              <w:top w:type="dxa" w:w="70"/>
              <w:left w:type="dxa" w:w="110"/>
              <w:bottom w:type="dxa" w:w="70"/>
              <w:right w:type="dxa" w:w="110"/>
            </w:tcMar>
          </w:tcPr>
          <w:p>
            <w:pPr>
              <w:spacing w:after="0"/>
            </w:pPr>
            <w:r>
              <w:rPr>
                <w:b/>
                <w:bCs/>
                <w:i w:val="false"/>
                <w:iCs w:val="false"/>
                <w:color w:val="FFFFFF"/>
                <w:sz w:val="18"/>
                <w:szCs w:val="18"/>
              </w:rPr>
              <w:t xml:space="preserve">Accepted values / format</w:t>
            </w:r>
          </w:p>
        </w:tc>
        <w:tc>
          <w:tcPr>
            <w:tcW w:type="dxa" w:w="2440"/>
            <w:shd w:fill="1F3864" w:val="clear"/>
            <w:tcMar>
              <w:top w:type="dxa" w:w="70"/>
              <w:left w:type="dxa" w:w="110"/>
              <w:bottom w:type="dxa" w:w="70"/>
              <w:right w:type="dxa" w:w="110"/>
            </w:tcMar>
          </w:tcPr>
          <w:p>
            <w:pPr>
              <w:spacing w:after="0"/>
            </w:pPr>
            <w:r>
              <w:rPr>
                <w:b/>
                <w:bCs/>
                <w:i w:val="false"/>
                <w:iCs w:val="false"/>
                <w:color w:val="FFFFFF"/>
                <w:sz w:val="18"/>
                <w:szCs w:val="18"/>
              </w:rPr>
              <w:t xml:space="preserve">Validation &amp; limits</w:t>
            </w:r>
          </w:p>
        </w:tc>
        <w:tc>
          <w:tcPr>
            <w:tcW w:type="dxa" w:w="1350"/>
            <w:shd w:fill="1F3864" w:val="clear"/>
            <w:tcMar>
              <w:top w:type="dxa" w:w="70"/>
              <w:left w:type="dxa" w:w="110"/>
              <w:bottom w:type="dxa" w:w="70"/>
              <w:right w:type="dxa" w:w="110"/>
            </w:tcMar>
          </w:tcPr>
          <w:p>
            <w:pPr>
              <w:spacing w:after="0"/>
            </w:pPr>
            <w:r>
              <w:rPr>
                <w:b/>
                <w:bCs/>
                <w:i w:val="false"/>
                <w:iCs w:val="false"/>
                <w:color w:val="FFFFFF"/>
                <w:sz w:val="18"/>
                <w:szCs w:val="18"/>
              </w:rPr>
              <w:t xml:space="preserve">Default</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Which template is this?</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w:t>
            </w:r>
          </w:p>
        </w:tc>
        <w:tc>
          <w:tcPr>
            <w:tcW w:type="dxa" w:w="620"/>
            <w:shd w:fill="FFFFFF" w:val="clear"/>
            <w:tcMar>
              <w:top w:type="dxa" w:w="70"/>
              <w:left w:type="dxa" w:w="110"/>
              <w:bottom w:type="dxa" w:w="70"/>
              <w:right w:type="dxa" w:w="110"/>
            </w:tcMar>
          </w:tcPr>
          <w:p>
            <w:pPr>
              <w:spacing w:after="0"/>
            </w:pPr>
            <w:r>
              <w:rPr>
                <w:b/>
                <w:bCs/>
                <w:i w:val="false"/>
                <w:iCs w:val="false"/>
                <w:color w:val="000000"/>
                <w:sz w:val="18"/>
                <w:szCs w:val="18"/>
              </w:rPr>
              <w:t xml:space="preserve">Yes</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Historical data / Growth drivers / Cost drivers.</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Selects which endpoint the form posts to. There is no cross-check that the file actually matches the chosen kind.</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Historical data</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filled-in file</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File input</w:t>
            </w:r>
          </w:p>
        </w:tc>
        <w:tc>
          <w:tcPr>
            <w:tcW w:type="dxa" w:w="620"/>
            <w:shd w:fill="F7F9FC" w:val="clear"/>
            <w:tcMar>
              <w:top w:type="dxa" w:w="70"/>
              <w:left w:type="dxa" w:w="110"/>
              <w:bottom w:type="dxa" w:w="70"/>
              <w:right w:type="dxa" w:w="110"/>
            </w:tcMar>
          </w:tcPr>
          <w:p>
            <w:pPr>
              <w:spacing w:after="0"/>
            </w:pPr>
            <w:r>
              <w:rPr>
                <w:b/>
                <w:bCs/>
                <w:i w:val="false"/>
                <w:iCs w:val="false"/>
                <w:color w:val="000000"/>
                <w:sz w:val="18"/>
                <w:szCs w:val="18"/>
              </w:rPr>
              <w:t xml:space="preserve">One of the two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.xlsx or .csv. Read in the browser and posted base64-encoded — there is no multipart parser.</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Rejected above roughly 10 MB of encoded data with "That workbook is larger than an import accepts." The request body limit is 12 MB.</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Empty</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Or paste the contents instead</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Textarea</w:t>
            </w:r>
          </w:p>
        </w:tc>
        <w:tc>
          <w:tcPr>
            <w:tcW w:type="dxa" w:w="620"/>
            <w:shd w:fill="FFFFFF" w:val="clear"/>
            <w:tcMar>
              <w:top w:type="dxa" w:w="70"/>
              <w:left w:type="dxa" w:w="110"/>
              <w:bottom w:type="dxa" w:w="70"/>
              <w:right w:type="dxa" w:w="110"/>
            </w:tcMar>
          </w:tcPr>
          <w:p>
            <w:pPr>
              <w:spacing w:after="0"/>
            </w:pPr>
            <w:r>
              <w:rPr>
                <w:b/>
                <w:bCs/>
                <w:i w:val="false"/>
                <w:iCs w:val="false"/>
                <w:color w:val="000000"/>
                <w:sz w:val="18"/>
                <w:szCs w:val="18"/>
              </w:rPr>
              <w:t xml:space="preserve">One of the two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CSV text pasted directly.</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Used only when no file is chosen.</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Empty</w:t>
            </w:r>
          </w:p>
        </w:tc>
      </w:tr>
    </w:tbl>
    <w:p>
      <w:pPr>
        <w:spacing w:after="80"/>
      </w:pPr>
    </w:p>
    <w:p>
      <w:pPr>
        <w:spacing w:after="120"/>
      </w:pPr>
      <w:r>
        <w:rPr>
          <w:b w:val="false"/>
          <w:bCs w:val="false"/>
          <w:i w:val="false"/>
          <w:iCs w:val="false"/>
          <w:sz w:val="20"/>
          <w:szCs w:val="20"/>
        </w:rPr>
        <w:t xml:space="preserve">Pressing "Read the file" parses it and stages the result — it does NOT write to the model.</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200"/>
        <w:gridCol w:w="6160"/>
      </w:tblGrid>
      <w:tr>
        <w:trPr>
          <w:tblHeader/>
        </w:trPr>
        <w:tc>
          <w:tcPr>
            <w:tcW w:type="dxa" w:w="3200"/>
            <w:shd w:fill="1F3864" w:val="clear"/>
            <w:tcMar>
              <w:top w:type="dxa" w:w="70"/>
              <w:left w:type="dxa" w:w="110"/>
              <w:bottom w:type="dxa" w:w="70"/>
              <w:right w:type="dxa" w:w="110"/>
            </w:tcMar>
          </w:tcPr>
          <w:p>
            <w:pPr>
              <w:spacing w:after="0"/>
            </w:pPr>
            <w:r>
              <w:rPr>
                <w:b/>
                <w:bCs/>
                <w:i w:val="false"/>
                <w:iCs w:val="false"/>
                <w:color w:val="FFFFFF"/>
                <w:sz w:val="18"/>
                <w:szCs w:val="18"/>
              </w:rPr>
              <w:t xml:space="preserve">Condition</w:t>
            </w:r>
          </w:p>
        </w:tc>
        <w:tc>
          <w:tcPr>
            <w:tcW w:type="dxa" w:w="6160"/>
            <w:shd w:fill="1F3864" w:val="clear"/>
            <w:tcMar>
              <w:top w:type="dxa" w:w="70"/>
              <w:left w:type="dxa" w:w="110"/>
              <w:bottom w:type="dxa" w:w="70"/>
              <w:right w:type="dxa" w:w="110"/>
            </w:tcMar>
          </w:tcPr>
          <w:p>
            <w:pPr>
              <w:spacing w:after="0"/>
            </w:pPr>
            <w:r>
              <w:rPr>
                <w:b/>
                <w:bCs/>
                <w:i w:val="false"/>
                <w:iCs w:val="false"/>
                <w:color w:val="FFFFFF"/>
                <w:sz w:val="18"/>
                <w:szCs w:val="18"/>
              </w:rPr>
              <w:t xml:space="preserve">Result</w:t>
            </w:r>
          </w:p>
        </w:tc>
      </w:tr>
      <w:tr>
        <w:tc>
          <w:tcPr>
            <w:tcW w:type="dxa" w:w="3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Neither a file nor pasted text</w:t>
            </w:r>
          </w:p>
        </w:tc>
        <w:tc>
          <w:tcPr>
            <w:tcW w:type="dxa" w:w="61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Red flash: "Choose the filled-in workbook, or paste the template contents, first." Nothing staged.</w:t>
            </w:r>
          </w:p>
        </w:tc>
      </w:tr>
      <w:tr>
        <w:tc>
          <w:tcPr>
            <w:tcW w:type="dxa" w:w="3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 column header matches a year in this model</w:t>
            </w:r>
          </w:p>
        </w:tc>
        <w:tc>
          <w:tcPr>
            <w:tcW w:type="dxa" w:w="61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Everything rejected with the reason naming the years the model expects.</w:t>
            </w:r>
          </w:p>
        </w:tc>
      </w:tr>
      <w:tr>
        <w:tc>
          <w:tcPr>
            <w:tcW w:type="dxa" w:w="3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Business unit name not in this model</w:t>
            </w:r>
          </w:p>
        </w:tc>
        <w:tc>
          <w:tcPr>
            <w:tcW w:type="dxa" w:w="61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That row rejected: '"X" is not a business unit in this model'. Matched case-insensitively.</w:t>
            </w:r>
          </w:p>
        </w:tc>
      </w:tr>
      <w:tr>
        <w:tc>
          <w:tcPr>
            <w:tcW w:type="dxa" w:w="3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Scenario column not best/base/worst</w:t>
            </w:r>
          </w:p>
        </w:tc>
        <w:tc>
          <w:tcPr>
            <w:tcW w:type="dxa" w:w="61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That row rejected (driver templates only).</w:t>
            </w:r>
          </w:p>
        </w:tc>
      </w:tr>
      <w:tr>
        <w:tc>
          <w:tcPr>
            <w:tcW w:type="dxa" w:w="3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Line name not in the template</w:t>
            </w:r>
          </w:p>
        </w:tc>
        <w:tc>
          <w:tcPr>
            <w:tcW w:type="dxa" w:w="61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That row rejected. Both the label ("Revenue") and the internal key ("revenue") are accepted.</w:t>
            </w:r>
          </w:p>
        </w:tc>
      </w:tr>
      <w:tr>
        <w:tc>
          <w:tcPr>
            <w:tcW w:type="dxa" w:w="3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 cell that is not a number</w:t>
            </w:r>
          </w:p>
        </w:tc>
        <w:tc>
          <w:tcPr>
            <w:tcW w:type="dxa" w:w="61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That single cell rejected with the value and year named. Other cells on the row still import.</w:t>
            </w:r>
          </w:p>
        </w:tc>
      </w:tr>
      <w:tr>
        <w:tc>
          <w:tcPr>
            <w:tcW w:type="dxa" w:w="3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blank cell</w:t>
            </w:r>
          </w:p>
        </w:tc>
        <w:tc>
          <w:tcPr>
            <w:tcW w:type="dxa" w:w="6160"/>
            <w:shd w:fill="FFFFFF" w:val="clear"/>
            <w:tcMar>
              <w:top w:type="dxa" w:w="70"/>
              <w:left w:type="dxa" w:w="110"/>
              <w:bottom w:type="dxa" w:w="70"/>
              <w:right w:type="dxa" w:w="110"/>
            </w:tcMar>
          </w:tcPr>
          <w:p>
            <w:pPr>
              <w:spacing w:after="0"/>
            </w:pPr>
            <w:r>
              <w:rPr>
                <w:b/>
                <w:bCs/>
                <w:i w:val="false"/>
                <w:iCs w:val="false"/>
                <w:color w:val="000000"/>
                <w:sz w:val="18"/>
                <w:szCs w:val="18"/>
              </w:rPr>
              <w:t xml:space="preserve">Skipped silently — blank means "leave it alone", not "set to zero".</w:t>
            </w:r>
          </w:p>
        </w:tc>
      </w:tr>
      <w:tr>
        <w:tc>
          <w:tcPr>
            <w:tcW w:type="dxa" w:w="3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Success</w:t>
            </w:r>
          </w:p>
        </w:tc>
        <w:tc>
          <w:tcPr>
            <w:tcW w:type="dxa" w:w="61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Flash: "N values read, M rejected. Review it below, then approve to write it into the model." Page jumps to the staged extraction.</w:t>
            </w:r>
          </w:p>
        </w:tc>
      </w:tr>
    </w:tbl>
    <w:p>
      <w:pPr>
        <w:spacing w:after="80"/>
      </w:pPr>
    </w:p>
    <w:tbl>
      <w:tblPr>
        <w:tblW w:type="dxa" w:w="9360"/>
        <w:tblBorders>
          <w:top w:val="single" w:color="D5DEE8" w:sz="2"/>
          <w:left w:val="single" w:color="2E5C8A" w:sz="12"/>
          <w:bottom w:val="single" w:color="D5DEE8" w:sz="2"/>
          <w:right w:val="single" w:color="D5DEE8" w:sz="2"/>
          <w:insideH w:val="none"/>
          <w:insideV w:val="none"/>
        </w:tblBorders>
      </w:tblPr>
      <w:tblGrid>
        <w:gridCol w:w="9360"/>
      </w:tblGrid>
      <w:tr>
        <w:tc>
          <w:tcPr>
            <w:tcW w:type="dxa" w:w="9360"/>
            <w:shd w:fill="EDF2F8" w:val="clear"/>
            <w:tcMar>
              <w:top w:type="dxa" w:w="120"/>
              <w:left w:type="dxa" w:w="180"/>
              <w:bottom w:type="dxa" w:w="120"/>
              <w:right w:type="dxa" w:w="180"/>
            </w:tcMar>
          </w:tcPr>
          <w:p>
            <w:pPr>
              <w:spacing w:after="60"/>
            </w:pPr>
            <w:r>
              <w:rPr>
                <w:b/>
                <w:bCs/>
                <w:color w:val="1F3864"/>
                <w:sz w:val="20"/>
                <w:szCs w:val="20"/>
              </w:rPr>
              <w:t xml:space="preserve">Percentage handling on import differs from the forms</w:t>
            </w:r>
          </w:p>
          <w:p>
            <w:pPr>
              <w:spacing w:after="60"/>
            </w:pPr>
            <w:r>
              <w:rPr>
                <w:sz w:val="19"/>
                <w:szCs w:val="19"/>
              </w:rPr>
              <w:t xml:space="preserve">Any column whose internal key ends in _pct (growth_pct, cogs_pct, sd_pct, ga_pct) is divided by 100 on import — so type 5.6 in the spreadsheet for 5.6%, exactly as on the input screens.</w:t>
            </w:r>
          </w:p>
          <w:p>
            <w:pPr>
              <w:spacing w:after="0"/>
            </w:pPr>
            <w:r>
              <w:rPr>
                <w:sz w:val="19"/>
                <w:szCs w:val="19"/>
              </w:rPr>
              <w:t xml:space="preserve">A trailing % sign in the cell is tolerated and stripped.</w:t>
            </w:r>
          </w:p>
        </w:tc>
      </w:tr>
    </w:tbl>
    <w:p>
      <w:pPr>
        <w:spacing w:after="80"/>
      </w:pPr>
    </w:p>
    <w:p>
      <w:pPr>
        <w:pStyle w:val="Heading3"/>
        <w:spacing w:after="100" w:before="220"/>
      </w:pPr>
      <w:r>
        <w:t xml:space="preserve">Panel C — ERP connections</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850"/>
        <w:gridCol w:w="1000"/>
        <w:gridCol w:w="620"/>
        <w:gridCol w:w="2100"/>
        <w:gridCol w:w="2440"/>
        <w:gridCol w:w="1350"/>
      </w:tblGrid>
      <w:tr>
        <w:trPr>
          <w:tblHeader/>
        </w:trPr>
        <w:tc>
          <w:tcPr>
            <w:tcW w:type="dxa" w:w="1850"/>
            <w:shd w:fill="1F3864" w:val="clear"/>
            <w:tcMar>
              <w:top w:type="dxa" w:w="70"/>
              <w:left w:type="dxa" w:w="110"/>
              <w:bottom w:type="dxa" w:w="70"/>
              <w:right w:type="dxa" w:w="110"/>
            </w:tcMar>
          </w:tcPr>
          <w:p>
            <w:pPr>
              <w:spacing w:after="0"/>
            </w:pPr>
            <w:r>
              <w:rPr>
                <w:b/>
                <w:bCs/>
                <w:i w:val="false"/>
                <w:iCs w:val="false"/>
                <w:color w:val="FFFFFF"/>
                <w:sz w:val="18"/>
                <w:szCs w:val="18"/>
              </w:rPr>
              <w:t xml:space="preserve">Field</w:t>
            </w:r>
          </w:p>
        </w:tc>
        <w:tc>
          <w:tcPr>
            <w:tcW w:type="dxa" w:w="1000"/>
            <w:shd w:fill="1F3864" w:val="clear"/>
            <w:tcMar>
              <w:top w:type="dxa" w:w="70"/>
              <w:left w:type="dxa" w:w="110"/>
              <w:bottom w:type="dxa" w:w="70"/>
              <w:right w:type="dxa" w:w="110"/>
            </w:tcMar>
          </w:tcPr>
          <w:p>
            <w:pPr>
              <w:spacing w:after="0"/>
            </w:pPr>
            <w:r>
              <w:rPr>
                <w:b/>
                <w:bCs/>
                <w:i w:val="false"/>
                <w:iCs w:val="false"/>
                <w:color w:val="FFFFFF"/>
                <w:sz w:val="18"/>
                <w:szCs w:val="18"/>
              </w:rPr>
              <w:t xml:space="preserve">Type</w:t>
            </w:r>
          </w:p>
        </w:tc>
        <w:tc>
          <w:tcPr>
            <w:tcW w:type="dxa" w:w="620"/>
            <w:shd w:fill="1F3864" w:val="clear"/>
            <w:tcMar>
              <w:top w:type="dxa" w:w="70"/>
              <w:left w:type="dxa" w:w="110"/>
              <w:bottom w:type="dxa" w:w="70"/>
              <w:right w:type="dxa" w:w="110"/>
            </w:tcMar>
          </w:tcPr>
          <w:p>
            <w:pPr>
              <w:spacing w:after="0"/>
            </w:pPr>
            <w:r>
              <w:rPr>
                <w:b/>
                <w:bCs/>
                <w:i w:val="false"/>
                <w:iCs w:val="false"/>
                <w:color w:val="FFFFFF"/>
                <w:sz w:val="18"/>
                <w:szCs w:val="18"/>
              </w:rPr>
              <w:t xml:space="preserve">Req.</w:t>
            </w:r>
          </w:p>
        </w:tc>
        <w:tc>
          <w:tcPr>
            <w:tcW w:type="dxa" w:w="2100"/>
            <w:shd w:fill="1F3864" w:val="clear"/>
            <w:tcMar>
              <w:top w:type="dxa" w:w="70"/>
              <w:left w:type="dxa" w:w="110"/>
              <w:bottom w:type="dxa" w:w="70"/>
              <w:right w:type="dxa" w:w="110"/>
            </w:tcMar>
          </w:tcPr>
          <w:p>
            <w:pPr>
              <w:spacing w:after="0"/>
            </w:pPr>
            <w:r>
              <w:rPr>
                <w:b/>
                <w:bCs/>
                <w:i w:val="false"/>
                <w:iCs w:val="false"/>
                <w:color w:val="FFFFFF"/>
                <w:sz w:val="18"/>
                <w:szCs w:val="18"/>
              </w:rPr>
              <w:t xml:space="preserve">Accepted values / format</w:t>
            </w:r>
          </w:p>
        </w:tc>
        <w:tc>
          <w:tcPr>
            <w:tcW w:type="dxa" w:w="2440"/>
            <w:shd w:fill="1F3864" w:val="clear"/>
            <w:tcMar>
              <w:top w:type="dxa" w:w="70"/>
              <w:left w:type="dxa" w:w="110"/>
              <w:bottom w:type="dxa" w:w="70"/>
              <w:right w:type="dxa" w:w="110"/>
            </w:tcMar>
          </w:tcPr>
          <w:p>
            <w:pPr>
              <w:spacing w:after="0"/>
            </w:pPr>
            <w:r>
              <w:rPr>
                <w:b/>
                <w:bCs/>
                <w:i w:val="false"/>
                <w:iCs w:val="false"/>
                <w:color w:val="FFFFFF"/>
                <w:sz w:val="18"/>
                <w:szCs w:val="18"/>
              </w:rPr>
              <w:t xml:space="preserve">Validation &amp; limits</w:t>
            </w:r>
          </w:p>
        </w:tc>
        <w:tc>
          <w:tcPr>
            <w:tcW w:type="dxa" w:w="1350"/>
            <w:shd w:fill="1F3864" w:val="clear"/>
            <w:tcMar>
              <w:top w:type="dxa" w:w="70"/>
              <w:left w:type="dxa" w:w="110"/>
              <w:bottom w:type="dxa" w:w="70"/>
              <w:right w:type="dxa" w:w="110"/>
            </w:tcMar>
          </w:tcPr>
          <w:p>
            <w:pPr>
              <w:spacing w:after="0"/>
            </w:pPr>
            <w:r>
              <w:rPr>
                <w:b/>
                <w:bCs/>
                <w:i w:val="false"/>
                <w:iCs w:val="false"/>
                <w:color w:val="FFFFFF"/>
                <w:sz w:val="18"/>
                <w:szCs w:val="18"/>
              </w:rPr>
              <w:t xml:space="preserve">Default</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Name</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Text</w:t>
            </w:r>
          </w:p>
        </w:tc>
        <w:tc>
          <w:tcPr>
            <w:tcW w:type="dxa" w:w="620"/>
            <w:shd w:fill="FFFFFF" w:val="clear"/>
            <w:tcMar>
              <w:top w:type="dxa" w:w="70"/>
              <w:left w:type="dxa" w:w="110"/>
              <w:bottom w:type="dxa" w:w="70"/>
              <w:right w:type="dxa" w:w="110"/>
            </w:tcMar>
          </w:tcPr>
          <w:p>
            <w:pPr>
              <w:spacing w:after="0"/>
            </w:pPr>
            <w:r>
              <w:rPr>
                <w:b/>
                <w:bCs/>
                <w:i w:val="false"/>
                <w:iCs w:val="false"/>
                <w:color w:val="000000"/>
                <w:sz w:val="18"/>
                <w:szCs w:val="18"/>
              </w:rPr>
              <w:t xml:space="preserve">Yes</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e.g. SAP production.</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Trimmed, truncated to 160. Blank becomes "ERP connection".</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Empty</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System</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SAP / Oracle Fusion / Microsoft Dynamics 365 / Odoo / Generic REST endpoint.</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Unknown value falls back to "generic".</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Generic</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Dataset (direction)</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Trial balance / Revenue by business unit / Cost by business unit / Fixed asset register / Debt register.</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Unknown value falls back to trial_balance.</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Trial balance</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Base URL</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URL</w:t>
            </w:r>
          </w:p>
        </w:tc>
        <w:tc>
          <w:tcPr>
            <w:tcW w:type="dxa" w:w="620"/>
            <w:shd w:fill="F7F9FC" w:val="clear"/>
            <w:tcMar>
              <w:top w:type="dxa" w:w="70"/>
              <w:left w:type="dxa" w:w="110"/>
              <w:bottom w:type="dxa" w:w="70"/>
              <w:right w:type="dxa" w:w="110"/>
            </w:tcMar>
          </w:tcPr>
          <w:p>
            <w:pPr>
              <w:spacing w:after="0"/>
            </w:pPr>
            <w:r>
              <w:rPr>
                <w:b/>
                <w:bCs/>
                <w:i w:val="false"/>
                <w:iCs w:val="false"/>
                <w:color w:val="000000"/>
                <w:sz w:val="18"/>
                <w:szCs w:val="18"/>
              </w:rPr>
              <w:t xml:space="preserve">Yes</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e.g. https://erp.example.com/api/</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HTML required and type=url. Server trims and truncates to 500 but does not validate the scheme.</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Empty</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Resource path</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Text</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e.g. v1/finance/trial-balance</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Trimmed, truncated to 500.</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Empty</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Authentication</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None / API key / Basic / OAuth2.</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Unknown value falls back to api_key.</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API key</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Credential environment variable</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Text</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NAME of an environment variable, e.g. ERP_SAP_API_KEY.</w:t>
            </w:r>
          </w:p>
        </w:tc>
        <w:tc>
          <w:tcPr>
            <w:tcW w:type="dxa" w:w="2440"/>
            <w:shd w:fill="FFFFFF" w:val="clear"/>
            <w:tcMar>
              <w:top w:type="dxa" w:w="70"/>
              <w:left w:type="dxa" w:w="110"/>
              <w:bottom w:type="dxa" w:w="70"/>
              <w:right w:type="dxa" w:w="110"/>
            </w:tcMar>
          </w:tcPr>
          <w:p>
            <w:pPr>
              <w:spacing w:after="40"/>
            </w:pPr>
            <w:r>
              <w:rPr>
                <w:b w:val="false"/>
                <w:bCs w:val="false"/>
                <w:i w:val="false"/>
                <w:iCs w:val="false"/>
                <w:color w:val="000000"/>
                <w:sz w:val="18"/>
                <w:szCs w:val="18"/>
              </w:rPr>
              <w:t xml:space="preserve">Trimmed, truncated to 120.</w:t>
            </w:r>
          </w:p>
          <w:p>
            <w:pPr>
              <w:spacing w:after="0"/>
            </w:pPr>
            <w:r>
              <w:rPr>
                <w:b w:val="false"/>
                <w:bCs w:val="false"/>
                <w:i w:val="false"/>
                <w:iCs w:val="false"/>
                <w:color w:val="000000"/>
                <w:sz w:val="18"/>
                <w:szCs w:val="18"/>
              </w:rPr>
              <w:t xml:space="preserve">The secret itself is never stored in the database — only the name of the variable that carries it, read at call time. A database dump therefore contains no credential.</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Empty</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Active</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Yes / No.</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Seeded connections start INACTIVE with no credential, so a fresh install never reaches a network endpoint on its own.</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From the form</w:t>
            </w:r>
          </w:p>
        </w:tc>
      </w:tr>
    </w:tbl>
    <w:p>
      <w:pPr>
        <w:spacing w:after="8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900"/>
        <w:gridCol w:w="3430"/>
        <w:gridCol w:w="4030"/>
      </w:tblGrid>
      <w:tr>
        <w:trPr>
          <w:tblHeader/>
        </w:trPr>
        <w:tc>
          <w:tcPr>
            <w:tcW w:type="dxa" w:w="1900"/>
            <w:shd w:fill="1F3864" w:val="clear"/>
            <w:tcMar>
              <w:top w:type="dxa" w:w="70"/>
              <w:left w:type="dxa" w:w="110"/>
              <w:bottom w:type="dxa" w:w="70"/>
              <w:right w:type="dxa" w:w="110"/>
            </w:tcMar>
          </w:tcPr>
          <w:p>
            <w:pPr>
              <w:spacing w:after="0"/>
            </w:pPr>
            <w:r>
              <w:rPr>
                <w:b/>
                <w:bCs/>
                <w:i w:val="false"/>
                <w:iCs w:val="false"/>
                <w:color w:val="FFFFFF"/>
                <w:sz w:val="18"/>
                <w:szCs w:val="18"/>
              </w:rPr>
              <w:t xml:space="preserve">Control</w:t>
            </w:r>
          </w:p>
        </w:tc>
        <w:tc>
          <w:tcPr>
            <w:tcW w:type="dxa" w:w="3430"/>
            <w:shd w:fill="1F3864" w:val="clear"/>
            <w:tcMar>
              <w:top w:type="dxa" w:w="70"/>
              <w:left w:type="dxa" w:w="110"/>
              <w:bottom w:type="dxa" w:w="70"/>
              <w:right w:type="dxa" w:w="110"/>
            </w:tcMar>
          </w:tcPr>
          <w:p>
            <w:pPr>
              <w:spacing w:after="0"/>
            </w:pPr>
            <w:r>
              <w:rPr>
                <w:b/>
                <w:bCs/>
                <w:i w:val="false"/>
                <w:iCs w:val="false"/>
                <w:color w:val="FFFFFF"/>
                <w:sz w:val="18"/>
                <w:szCs w:val="18"/>
              </w:rPr>
              <w:t xml:space="preserve">What it does</w:t>
            </w:r>
          </w:p>
        </w:tc>
        <w:tc>
          <w:tcPr>
            <w:tcW w:type="dxa" w:w="4030"/>
            <w:shd w:fill="1F3864" w:val="clear"/>
            <w:tcMar>
              <w:top w:type="dxa" w:w="70"/>
              <w:left w:type="dxa" w:w="110"/>
              <w:bottom w:type="dxa" w:w="70"/>
              <w:right w:type="dxa" w:w="110"/>
            </w:tcMar>
          </w:tcPr>
          <w:p>
            <w:pPr>
              <w:spacing w:after="0"/>
            </w:pPr>
            <w:r>
              <w:rPr>
                <w:b/>
                <w:bCs/>
                <w:i w:val="false"/>
                <w:iCs w:val="false"/>
                <w:color w:val="FFFFFF"/>
                <w:sz w:val="18"/>
                <w:szCs w:val="18"/>
              </w:rPr>
              <w:t xml:space="preserve">Expected result</w:t>
            </w:r>
          </w:p>
        </w:tc>
      </w:tr>
      <w:tr>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Extract</w:t>
            </w:r>
          </w:p>
        </w:tc>
        <w:tc>
          <w:tcPr>
            <w:tcW w:type="dxa" w:w="34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Calls the ERP and stages whatever comes back.</w:t>
            </w:r>
          </w:p>
        </w:tc>
        <w:tc>
          <w:tcPr>
            <w:tcW w:type="dxa" w:w="4030"/>
            <w:shd w:fill="FFFFFF" w:val="clear"/>
            <w:tcMar>
              <w:top w:type="dxa" w:w="70"/>
              <w:left w:type="dxa" w:w="110"/>
              <w:bottom w:type="dxa" w:w="70"/>
              <w:right w:type="dxa" w:w="110"/>
            </w:tcMar>
          </w:tcPr>
          <w:p>
            <w:pPr>
              <w:spacing w:after="40"/>
            </w:pPr>
            <w:r>
              <w:rPr>
                <w:b w:val="false"/>
                <w:bCs w:val="false"/>
                <w:i w:val="false"/>
                <w:iCs w:val="false"/>
                <w:color w:val="000000"/>
                <w:sz w:val="18"/>
                <w:szCs w:val="18"/>
              </w:rPr>
              <w:t xml:space="preserve">Flash: "N rows extracted, M could not be read. Nothing has been written to the model yet — review and approve it below."</w:t>
            </w:r>
          </w:p>
          <w:p>
            <w:pPr>
              <w:spacing w:after="0"/>
            </w:pPr>
            <w:r>
              <w:rPr>
                <w:b w:val="false"/>
                <w:bCs w:val="false"/>
                <w:i w:val="false"/>
                <w:iCs w:val="false"/>
                <w:color w:val="000000"/>
                <w:sz w:val="18"/>
                <w:szCs w:val="18"/>
              </w:rPr>
              <w:t xml:space="preserve">A failure is an expected outcome, not a crash: the ERP being down, the credential missing or the response being the wrong shape all produce a red flash "Extraction failed. &lt;reason&gt;" and leave the model untouched.</w:t>
            </w:r>
          </w:p>
        </w:tc>
      </w:tr>
      <w:tr>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Delete connection</w:t>
            </w:r>
          </w:p>
        </w:tc>
        <w:tc>
          <w:tcPr>
            <w:tcW w:type="dxa" w:w="34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Removes the connection.</w:t>
            </w:r>
          </w:p>
        </w:tc>
        <w:tc>
          <w:tcPr>
            <w:tcW w:type="dxa" w:w="40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Flash "Connection removed." Any extraction already staged from it survives, with its connection reference set to null.</w:t>
            </w:r>
          </w:p>
        </w:tc>
      </w:tr>
    </w:tbl>
    <w:p>
      <w:pPr>
        <w:spacing w:after="80"/>
      </w:pPr>
    </w:p>
    <w:p>
      <w:pPr>
        <w:spacing w:after="120"/>
      </w:pPr>
      <w:r>
        <w:rPr>
          <w:b w:val="false"/>
          <w:bCs w:val="false"/>
          <w:i w:val="false"/>
          <w:iCs w:val="false"/>
          <w:sz w:val="20"/>
          <w:szCs w:val="20"/>
        </w:rPr>
        <w:t xml:space="preserve">The mapper is tolerant about column names — unit / business_unit / segment / division / cost_centre all resolve, as do period / year / fiscal_year / fy, line / account / description / item, and amount / value / balance / closing_balance / total / net. It is strict about numbers: anything not recognisably numeric is rejected with a reason rather than silently imported as zero.</w:t>
      </w:r>
    </w:p>
    <w:p>
      <w:pPr>
        <w:spacing w:after="80"/>
      </w:pPr>
    </w:p>
    <w:p>
      <w:pPr>
        <w:pStyle w:val="Heading3"/>
        <w:spacing w:after="100" w:before="220"/>
      </w:pPr>
      <w:r>
        <w:t xml:space="preserve">Panel D — Review: approve or reject</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900"/>
        <w:gridCol w:w="3430"/>
        <w:gridCol w:w="4030"/>
      </w:tblGrid>
      <w:tr>
        <w:trPr>
          <w:tblHeader/>
        </w:trPr>
        <w:tc>
          <w:tcPr>
            <w:tcW w:type="dxa" w:w="1900"/>
            <w:shd w:fill="1F3864" w:val="clear"/>
            <w:tcMar>
              <w:top w:type="dxa" w:w="70"/>
              <w:left w:type="dxa" w:w="110"/>
              <w:bottom w:type="dxa" w:w="70"/>
              <w:right w:type="dxa" w:w="110"/>
            </w:tcMar>
          </w:tcPr>
          <w:p>
            <w:pPr>
              <w:spacing w:after="0"/>
            </w:pPr>
            <w:r>
              <w:rPr>
                <w:b/>
                <w:bCs/>
                <w:i w:val="false"/>
                <w:iCs w:val="false"/>
                <w:color w:val="FFFFFF"/>
                <w:sz w:val="18"/>
                <w:szCs w:val="18"/>
              </w:rPr>
              <w:t xml:space="preserve">Control</w:t>
            </w:r>
          </w:p>
        </w:tc>
        <w:tc>
          <w:tcPr>
            <w:tcW w:type="dxa" w:w="3430"/>
            <w:shd w:fill="1F3864" w:val="clear"/>
            <w:tcMar>
              <w:top w:type="dxa" w:w="70"/>
              <w:left w:type="dxa" w:w="110"/>
              <w:bottom w:type="dxa" w:w="70"/>
              <w:right w:type="dxa" w:w="110"/>
            </w:tcMar>
          </w:tcPr>
          <w:p>
            <w:pPr>
              <w:spacing w:after="0"/>
            </w:pPr>
            <w:r>
              <w:rPr>
                <w:b/>
                <w:bCs/>
                <w:i w:val="false"/>
                <w:iCs w:val="false"/>
                <w:color w:val="FFFFFF"/>
                <w:sz w:val="18"/>
                <w:szCs w:val="18"/>
              </w:rPr>
              <w:t xml:space="preserve">What it does</w:t>
            </w:r>
          </w:p>
        </w:tc>
        <w:tc>
          <w:tcPr>
            <w:tcW w:type="dxa" w:w="4030"/>
            <w:shd w:fill="1F3864" w:val="clear"/>
            <w:tcMar>
              <w:top w:type="dxa" w:w="70"/>
              <w:left w:type="dxa" w:w="110"/>
              <w:bottom w:type="dxa" w:w="70"/>
              <w:right w:type="dxa" w:w="110"/>
            </w:tcMar>
          </w:tcPr>
          <w:p>
            <w:pPr>
              <w:spacing w:after="0"/>
            </w:pPr>
            <w:r>
              <w:rPr>
                <w:b/>
                <w:bCs/>
                <w:i w:val="false"/>
                <w:iCs w:val="false"/>
                <w:color w:val="FFFFFF"/>
                <w:sz w:val="18"/>
                <w:szCs w:val="18"/>
              </w:rPr>
              <w:t xml:space="preserve">Expected result</w:t>
            </w:r>
          </w:p>
        </w:tc>
      </w:tr>
      <w:tr>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Approve</w:t>
            </w:r>
          </w:p>
        </w:tc>
        <w:tc>
          <w:tcPr>
            <w:tcW w:type="dxa" w:w="34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Writes the staged rows into the model.</w:t>
            </w:r>
          </w:p>
        </w:tc>
        <w:tc>
          <w:tcPr>
            <w:tcW w:type="dxa" w:w="4030"/>
            <w:shd w:fill="FFFFFF" w:val="clear"/>
            <w:tcMar>
              <w:top w:type="dxa" w:w="70"/>
              <w:left w:type="dxa" w:w="110"/>
              <w:bottom w:type="dxa" w:w="70"/>
              <w:right w:type="dxa" w:w="110"/>
            </w:tcMar>
          </w:tcPr>
          <w:p>
            <w:pPr>
              <w:spacing w:after="40"/>
            </w:pPr>
            <w:r>
              <w:rPr>
                <w:b w:val="false"/>
                <w:bCs w:val="false"/>
                <w:i w:val="false"/>
                <w:iCs w:val="false"/>
                <w:color w:val="000000"/>
                <w:sz w:val="18"/>
                <w:szCs w:val="18"/>
              </w:rPr>
              <w:t xml:space="preserve">Flash "Approved. N value(s) written into the model, M skipped." The extraction is marked approved with the reviewer and timestamp, and an audit entry is written.</w:t>
            </w:r>
          </w:p>
          <w:p>
            <w:pPr>
              <w:spacing w:after="0"/>
            </w:pPr>
            <w:r>
              <w:rPr>
                <w:b w:val="false"/>
                <w:bCs w:val="false"/>
                <w:i w:val="false"/>
                <w:iCs w:val="false"/>
                <w:color w:val="000000"/>
                <w:sz w:val="18"/>
                <w:szCs w:val="18"/>
              </w:rPr>
              <w:t xml:space="preserve">Existing values for the same unit/line/year are OVERWRITTEN, not added to.</w:t>
            </w:r>
          </w:p>
        </w:tc>
      </w:tr>
      <w:tr>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Reject</w:t>
            </w:r>
          </w:p>
        </w:tc>
        <w:tc>
          <w:tcPr>
            <w:tcW w:type="dxa" w:w="34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Discards it.</w:t>
            </w:r>
          </w:p>
        </w:tc>
        <w:tc>
          <w:tcPr>
            <w:tcW w:type="dxa" w:w="40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Flash "Rejected. Nothing was written to the model."</w:t>
            </w:r>
          </w:p>
        </w:tc>
      </w:tr>
      <w:tr>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Approving something already reviewed</w:t>
            </w:r>
          </w:p>
        </w:tc>
        <w:tc>
          <w:tcPr>
            <w:tcW w:type="dxa" w:w="34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Refused.</w:t>
            </w:r>
          </w:p>
        </w:tc>
        <w:tc>
          <w:tcPr>
            <w:tcW w:type="dxa" w:w="40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Red flash "Not found, or it has already been reviewed." A row-level lock prevents two people approving the same extraction at once.</w:t>
            </w:r>
          </w:p>
        </w:tc>
      </w:tr>
    </w:tbl>
    <w:p>
      <w:pPr>
        <w:spacing w:after="8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000"/>
        <w:gridCol w:w="6360"/>
      </w:tblGrid>
      <w:tr>
        <w:trPr>
          <w:tblHeader/>
        </w:trPr>
        <w:tc>
          <w:tcPr>
            <w:tcW w:type="dxa" w:w="3000"/>
            <w:shd w:fill="1F3864" w:val="clear"/>
            <w:tcMar>
              <w:top w:type="dxa" w:w="70"/>
              <w:left w:type="dxa" w:w="110"/>
              <w:bottom w:type="dxa" w:w="70"/>
              <w:right w:type="dxa" w:w="110"/>
            </w:tcMar>
          </w:tcPr>
          <w:p>
            <w:pPr>
              <w:spacing w:after="0"/>
            </w:pPr>
            <w:r>
              <w:rPr>
                <w:b/>
                <w:bCs/>
                <w:i w:val="false"/>
                <w:iCs w:val="false"/>
                <w:color w:val="FFFFFF"/>
                <w:sz w:val="18"/>
                <w:szCs w:val="18"/>
              </w:rPr>
              <w:t xml:space="preserve">Dataset</w:t>
            </w:r>
          </w:p>
        </w:tc>
        <w:tc>
          <w:tcPr>
            <w:tcW w:type="dxa" w:w="6360"/>
            <w:shd w:fill="1F3864" w:val="clear"/>
            <w:tcMar>
              <w:top w:type="dxa" w:w="70"/>
              <w:left w:type="dxa" w:w="110"/>
              <w:bottom w:type="dxa" w:w="70"/>
              <w:right w:type="dxa" w:w="110"/>
            </w:tcMar>
          </w:tcPr>
          <w:p>
            <w:pPr>
              <w:spacing w:after="0"/>
            </w:pPr>
            <w:r>
              <w:rPr>
                <w:b/>
                <w:bCs/>
                <w:i w:val="false"/>
                <w:iCs w:val="false"/>
                <w:color w:val="FFFFFF"/>
                <w:sz w:val="18"/>
                <w:szCs w:val="18"/>
              </w:rPr>
              <w:t xml:space="preserve">What approval actually writes</w:t>
            </w:r>
          </w:p>
        </w:tc>
      </w:tr>
      <w:tr>
        <w:tc>
          <w:tcPr>
            <w:tcW w:type="dxa" w:w="3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Historical data (spreadsheet)</w:t>
            </w:r>
          </w:p>
        </w:tc>
        <w:tc>
          <w:tcPr>
            <w:tcW w:type="dxa" w:w="63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Actuals, matched to the unit by id or name, keyed by line and calendar year.</w:t>
            </w:r>
          </w:p>
        </w:tc>
      </w:tr>
      <w:tr>
        <w:tc>
          <w:tcPr>
            <w:tcW w:type="dxa" w:w="3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Revenue by unit / Cost by unit (ERP)</w:t>
            </w:r>
          </w:p>
        </w:tc>
        <w:tc>
          <w:tcPr>
            <w:tcW w:type="dxa" w:w="63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Actuals against the "revenue" or "cogs" line respectively.</w:t>
            </w:r>
          </w:p>
        </w:tc>
      </w:tr>
      <w:tr>
        <w:tc>
          <w:tcPr>
            <w:tcW w:type="dxa" w:w="3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Growth drivers / Cost drivers (spreadsheet)</w:t>
            </w:r>
          </w:p>
        </w:tc>
        <w:tc>
          <w:tcPr>
            <w:tcW w:type="dxa" w:w="63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One driver column per row, keyed by unit, scenario and period index. A year outside the forecast horizon is skipped with a reason.</w:t>
            </w:r>
          </w:p>
        </w:tc>
      </w:tr>
      <w:tr>
        <w:tc>
          <w:tcPr>
            <w:tcW w:type="dxa" w:w="3000"/>
            <w:shd w:fill="F7F9FC" w:val="clear"/>
            <w:tcMar>
              <w:top w:type="dxa" w:w="70"/>
              <w:left w:type="dxa" w:w="110"/>
              <w:bottom w:type="dxa" w:w="70"/>
              <w:right w:type="dxa" w:w="110"/>
            </w:tcMar>
          </w:tcPr>
          <w:p>
            <w:pPr>
              <w:spacing w:after="0"/>
            </w:pPr>
            <w:r>
              <w:rPr>
                <w:b/>
                <w:bCs/>
                <w:i w:val="false"/>
                <w:iCs w:val="false"/>
                <w:color w:val="000000"/>
                <w:sz w:val="18"/>
                <w:szCs w:val="18"/>
              </w:rPr>
              <w:t xml:space="preserve">Trial balance, Fixed asset register, Debt register</w:t>
            </w:r>
          </w:p>
        </w:tc>
        <w:tc>
          <w:tcPr>
            <w:tcW w:type="dxa" w:w="6360"/>
            <w:shd w:fill="F7F9FC" w:val="clear"/>
            <w:tcMar>
              <w:top w:type="dxa" w:w="70"/>
              <w:left w:type="dxa" w:w="110"/>
              <w:bottom w:type="dxa" w:w="70"/>
              <w:right w:type="dxa" w:w="110"/>
            </w:tcMar>
          </w:tcPr>
          <w:p>
            <w:pPr>
              <w:spacing w:after="40"/>
            </w:pPr>
            <w:r>
              <w:rPr>
                <w:b w:val="false"/>
                <w:bCs w:val="false"/>
                <w:i w:val="false"/>
                <w:iCs w:val="false"/>
                <w:color w:val="000000"/>
                <w:sz w:val="18"/>
                <w:szCs w:val="18"/>
              </w:rPr>
              <w:t xml:space="preserve">Reviewed here but NOT applied. The approval succeeds and the extraction is marked approved, but nothing is written and the skip reason explains that the mapping needs a judgement call and must be done by hand.</w:t>
            </w:r>
          </w:p>
          <w:p>
            <w:pPr>
              <w:spacing w:after="0"/>
            </w:pPr>
            <w:r>
              <w:rPr>
                <w:b w:val="false"/>
                <w:bCs w:val="false"/>
                <w:i w:val="false"/>
                <w:iCs w:val="false"/>
                <w:color w:val="000000"/>
                <w:sz w:val="18"/>
                <w:szCs w:val="18"/>
              </w:rPr>
              <w:t xml:space="preserve">Worth an explicit test — the success flash can read as though data was imported when none was.</w:t>
            </w:r>
          </w:p>
        </w:tc>
      </w:tr>
    </w:tbl>
    <w:p>
      <w:pPr>
        <w:spacing w:after="120"/>
      </w:pPr>
    </w:p>
    <w:p>
      <w:pPr>
        <w:pStyle w:val="Heading2"/>
        <w:spacing w:after="120" w:before="280"/>
      </w:pPr>
      <w:r>
        <w:t xml:space="preserve">2.22  Administration — Companies  —  /admin/companies</w:t>
      </w:r>
    </w:p>
    <w:tbl>
      <w:tblPr>
        <w:tblW w:type="dxa" w:w="9360"/>
        <w:tblBorders>
          <w:top w:val="single" w:color="D5DEE8" w:sz="2"/>
          <w:left w:val="single" w:color="C0392B" w:sz="12"/>
          <w:bottom w:val="single" w:color="D5DEE8" w:sz="2"/>
          <w:right w:val="single" w:color="D5DEE8" w:sz="2"/>
          <w:insideH w:val="none"/>
          <w:insideV w:val="none"/>
        </w:tblBorders>
      </w:tblPr>
      <w:tblGrid>
        <w:gridCol w:w="9360"/>
      </w:tblGrid>
      <w:tr>
        <w:tc>
          <w:tcPr>
            <w:tcW w:type="dxa" w:w="9360"/>
            <w:shd w:fill="FDECEC" w:val="clear"/>
            <w:tcMar>
              <w:top w:type="dxa" w:w="120"/>
              <w:left w:type="dxa" w:w="180"/>
              <w:bottom w:type="dxa" w:w="120"/>
              <w:right w:type="dxa" w:w="180"/>
            </w:tcMar>
          </w:tcPr>
          <w:p>
            <w:pPr>
              <w:spacing w:after="60"/>
            </w:pPr>
            <w:r>
              <w:rPr>
                <w:b/>
                <w:bCs/>
                <w:color w:val="1F3864"/>
                <w:sz w:val="20"/>
                <w:szCs w:val="20"/>
              </w:rPr>
              <w:t xml:space="preserve">DEFECT D3 — only the Super administrator can reach any admin page</w:t>
            </w:r>
          </w:p>
          <w:p>
            <w:pPr>
              <w:spacing w:after="60"/>
            </w:pPr>
            <w:r>
              <w:rPr>
                <w:sz w:val="19"/>
                <w:szCs w:val="19"/>
              </w:rPr>
              <w:t xml:space="preserve">Verified on the running system: signing in as the Administrator role returns 403 on both /admin/companies and /admin/users, even though that account carries the platform-administrator flag in the database.</w:t>
            </w:r>
          </w:p>
          <w:p>
            <w:pPr>
              <w:spacing w:after="60"/>
            </w:pPr>
            <w:r>
              <w:rPr>
                <w:sz w:val="19"/>
                <w:szCs w:val="19"/>
              </w:rPr>
              <w:t xml:space="preserve">The guard tests the role, not the flag. In practice this means an ordinary company Administrator cannot add a user, change a role, or reset a password — only the separate Super administrator account can.</w:t>
            </w:r>
          </w:p>
          <w:p>
            <w:pPr>
              <w:spacing w:after="0"/>
            </w:pPr>
            <w:r>
              <w:rPr>
                <w:sz w:val="19"/>
                <w:szCs w:val="19"/>
              </w:rPr>
              <w:t xml:space="preserve">Whether that is the intended design is a business question (see U2), but the mismatch between the role descriptions shown on /account ("manages users and their authorities") and what the system permits is a genuine inconsistency.</w:t>
            </w:r>
          </w:p>
        </w:tc>
      </w:tr>
    </w:tbl>
    <w:p>
      <w:pPr>
        <w:spacing w:after="80"/>
      </w:pPr>
    </w:p>
    <w:p>
      <w:pPr>
        <w:spacing w:after="120"/>
      </w:pPr>
      <w:r>
        <w:rPr>
          <w:b w:val="false"/>
          <w:bCs w:val="false"/>
          <w:i w:val="false"/>
          <w:iCs w:val="false"/>
          <w:sz w:val="20"/>
          <w:szCs w:val="20"/>
        </w:rPr>
        <w:t xml:space="preserve">Purpose: create and edit companies, upload their logo, and step into one to work in it.</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850"/>
        <w:gridCol w:w="1000"/>
        <w:gridCol w:w="620"/>
        <w:gridCol w:w="2100"/>
        <w:gridCol w:w="2440"/>
        <w:gridCol w:w="1350"/>
      </w:tblGrid>
      <w:tr>
        <w:trPr>
          <w:tblHeader/>
        </w:trPr>
        <w:tc>
          <w:tcPr>
            <w:tcW w:type="dxa" w:w="1850"/>
            <w:shd w:fill="1F3864" w:val="clear"/>
            <w:tcMar>
              <w:top w:type="dxa" w:w="70"/>
              <w:left w:type="dxa" w:w="110"/>
              <w:bottom w:type="dxa" w:w="70"/>
              <w:right w:type="dxa" w:w="110"/>
            </w:tcMar>
          </w:tcPr>
          <w:p>
            <w:pPr>
              <w:spacing w:after="0"/>
            </w:pPr>
            <w:r>
              <w:rPr>
                <w:b/>
                <w:bCs/>
                <w:i w:val="false"/>
                <w:iCs w:val="false"/>
                <w:color w:val="FFFFFF"/>
                <w:sz w:val="18"/>
                <w:szCs w:val="18"/>
              </w:rPr>
              <w:t xml:space="preserve">Field</w:t>
            </w:r>
          </w:p>
        </w:tc>
        <w:tc>
          <w:tcPr>
            <w:tcW w:type="dxa" w:w="1000"/>
            <w:shd w:fill="1F3864" w:val="clear"/>
            <w:tcMar>
              <w:top w:type="dxa" w:w="70"/>
              <w:left w:type="dxa" w:w="110"/>
              <w:bottom w:type="dxa" w:w="70"/>
              <w:right w:type="dxa" w:w="110"/>
            </w:tcMar>
          </w:tcPr>
          <w:p>
            <w:pPr>
              <w:spacing w:after="0"/>
            </w:pPr>
            <w:r>
              <w:rPr>
                <w:b/>
                <w:bCs/>
                <w:i w:val="false"/>
                <w:iCs w:val="false"/>
                <w:color w:val="FFFFFF"/>
                <w:sz w:val="18"/>
                <w:szCs w:val="18"/>
              </w:rPr>
              <w:t xml:space="preserve">Type</w:t>
            </w:r>
          </w:p>
        </w:tc>
        <w:tc>
          <w:tcPr>
            <w:tcW w:type="dxa" w:w="620"/>
            <w:shd w:fill="1F3864" w:val="clear"/>
            <w:tcMar>
              <w:top w:type="dxa" w:w="70"/>
              <w:left w:type="dxa" w:w="110"/>
              <w:bottom w:type="dxa" w:w="70"/>
              <w:right w:type="dxa" w:w="110"/>
            </w:tcMar>
          </w:tcPr>
          <w:p>
            <w:pPr>
              <w:spacing w:after="0"/>
            </w:pPr>
            <w:r>
              <w:rPr>
                <w:b/>
                <w:bCs/>
                <w:i w:val="false"/>
                <w:iCs w:val="false"/>
                <w:color w:val="FFFFFF"/>
                <w:sz w:val="18"/>
                <w:szCs w:val="18"/>
              </w:rPr>
              <w:t xml:space="preserve">Req.</w:t>
            </w:r>
          </w:p>
        </w:tc>
        <w:tc>
          <w:tcPr>
            <w:tcW w:type="dxa" w:w="2100"/>
            <w:shd w:fill="1F3864" w:val="clear"/>
            <w:tcMar>
              <w:top w:type="dxa" w:w="70"/>
              <w:left w:type="dxa" w:w="110"/>
              <w:bottom w:type="dxa" w:w="70"/>
              <w:right w:type="dxa" w:w="110"/>
            </w:tcMar>
          </w:tcPr>
          <w:p>
            <w:pPr>
              <w:spacing w:after="0"/>
            </w:pPr>
            <w:r>
              <w:rPr>
                <w:b/>
                <w:bCs/>
                <w:i w:val="false"/>
                <w:iCs w:val="false"/>
                <w:color w:val="FFFFFF"/>
                <w:sz w:val="18"/>
                <w:szCs w:val="18"/>
              </w:rPr>
              <w:t xml:space="preserve">Accepted values / format</w:t>
            </w:r>
          </w:p>
        </w:tc>
        <w:tc>
          <w:tcPr>
            <w:tcW w:type="dxa" w:w="2440"/>
            <w:shd w:fill="1F3864" w:val="clear"/>
            <w:tcMar>
              <w:top w:type="dxa" w:w="70"/>
              <w:left w:type="dxa" w:w="110"/>
              <w:bottom w:type="dxa" w:w="70"/>
              <w:right w:type="dxa" w:w="110"/>
            </w:tcMar>
          </w:tcPr>
          <w:p>
            <w:pPr>
              <w:spacing w:after="0"/>
            </w:pPr>
            <w:r>
              <w:rPr>
                <w:b/>
                <w:bCs/>
                <w:i w:val="false"/>
                <w:iCs w:val="false"/>
                <w:color w:val="FFFFFF"/>
                <w:sz w:val="18"/>
                <w:szCs w:val="18"/>
              </w:rPr>
              <w:t xml:space="preserve">Validation &amp; limits</w:t>
            </w:r>
          </w:p>
        </w:tc>
        <w:tc>
          <w:tcPr>
            <w:tcW w:type="dxa" w:w="1350"/>
            <w:shd w:fill="1F3864" w:val="clear"/>
            <w:tcMar>
              <w:top w:type="dxa" w:w="70"/>
              <w:left w:type="dxa" w:w="110"/>
              <w:bottom w:type="dxa" w:w="70"/>
              <w:right w:type="dxa" w:w="110"/>
            </w:tcMar>
          </w:tcPr>
          <w:p>
            <w:pPr>
              <w:spacing w:after="0"/>
            </w:pPr>
            <w:r>
              <w:rPr>
                <w:b/>
                <w:bCs/>
                <w:i w:val="false"/>
                <w:iCs w:val="false"/>
                <w:color w:val="FFFFFF"/>
                <w:sz w:val="18"/>
                <w:szCs w:val="18"/>
              </w:rPr>
              <w:t xml:space="preserve">Default</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Company name</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Text</w:t>
            </w:r>
          </w:p>
        </w:tc>
        <w:tc>
          <w:tcPr>
            <w:tcW w:type="dxa" w:w="620"/>
            <w:shd w:fill="FFFFFF" w:val="clear"/>
            <w:tcMar>
              <w:top w:type="dxa" w:w="70"/>
              <w:left w:type="dxa" w:w="110"/>
              <w:bottom w:type="dxa" w:w="70"/>
              <w:right w:type="dxa" w:w="110"/>
            </w:tcMar>
          </w:tcPr>
          <w:p>
            <w:pPr>
              <w:spacing w:after="0"/>
            </w:pPr>
            <w:r>
              <w:rPr>
                <w:b/>
                <w:bCs/>
                <w:i w:val="false"/>
                <w:iCs w:val="false"/>
                <w:color w:val="000000"/>
                <w:sz w:val="18"/>
                <w:szCs w:val="18"/>
              </w:rPr>
              <w:t xml:space="preserve">Yes</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Free text.</w:t>
            </w:r>
          </w:p>
        </w:tc>
        <w:tc>
          <w:tcPr>
            <w:tcW w:type="dxa" w:w="2440"/>
            <w:shd w:fill="FFFFFF" w:val="clear"/>
            <w:tcMar>
              <w:top w:type="dxa" w:w="70"/>
              <w:left w:type="dxa" w:w="110"/>
              <w:bottom w:type="dxa" w:w="70"/>
              <w:right w:type="dxa" w:w="110"/>
            </w:tcMar>
          </w:tcPr>
          <w:p>
            <w:pPr>
              <w:spacing w:after="40"/>
            </w:pPr>
            <w:r>
              <w:rPr>
                <w:b w:val="false"/>
                <w:bCs w:val="false"/>
                <w:i w:val="false"/>
                <w:iCs w:val="false"/>
                <w:color w:val="000000"/>
                <w:sz w:val="18"/>
                <w:szCs w:val="18"/>
              </w:rPr>
              <w:t xml:space="preserve">Normalised to a lookup key (trimmed, internal whitespace collapsed, lower-cased) which must be UNIQUE across the system.</w:t>
            </w:r>
          </w:p>
          <w:p>
            <w:pPr>
              <w:spacing w:after="0"/>
            </w:pPr>
            <w:r>
              <w:rPr>
                <w:b w:val="false"/>
                <w:bCs w:val="false"/>
                <w:i w:val="false"/>
                <w:iCs w:val="false"/>
                <w:color w:val="000000"/>
                <w:sz w:val="18"/>
                <w:szCs w:val="18"/>
              </w:rPr>
              <w:t xml:space="preserve">A duplicate produces a red flash carrying the database error message rather than a friendly one.</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Empty</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Industry</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Text</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Free text.</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Stored as given; column holds 160.</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Empty</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Description</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Text</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small line under the company name in the header.</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Column holds 240.</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Empty</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Is demo</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Checkbox</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Yes / No.</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Only companies flagged demo appear in the sample-company panel on the sign-in page.</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Currency (new company only)</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One of the 15 codes.</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Applied to the first model created with the company.</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SAR</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Logo</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File (posted base64)</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PNG, JPEG, GIF, WebP or SVG.</w:t>
            </w:r>
          </w:p>
        </w:tc>
        <w:tc>
          <w:tcPr>
            <w:tcW w:type="dxa" w:w="2440"/>
            <w:shd w:fill="F7F9FC" w:val="clear"/>
            <w:tcMar>
              <w:top w:type="dxa" w:w="70"/>
              <w:left w:type="dxa" w:w="110"/>
              <w:bottom w:type="dxa" w:w="70"/>
              <w:right w:type="dxa" w:w="110"/>
            </w:tcMar>
          </w:tcPr>
          <w:p>
            <w:pPr>
              <w:spacing w:after="40"/>
            </w:pPr>
            <w:r>
              <w:rPr>
                <w:b w:val="false"/>
                <w:bCs w:val="false"/>
                <w:i w:val="false"/>
                <w:iCs w:val="false"/>
                <w:color w:val="000000"/>
                <w:sz w:val="18"/>
                <w:szCs w:val="18"/>
              </w:rPr>
              <w:t xml:space="preserve">Must match a data:image/... base64 pattern — "That file is not an image." otherwise.</w:t>
            </w:r>
          </w:p>
          <w:p>
            <w:pPr>
              <w:spacing w:after="40"/>
            </w:pPr>
            <w:r>
              <w:rPr>
                <w:b w:val="false"/>
                <w:bCs w:val="false"/>
                <w:i w:val="false"/>
                <w:iCs w:val="false"/>
                <w:color w:val="000000"/>
                <w:sz w:val="18"/>
                <w:szCs w:val="18"/>
              </w:rPr>
              <w:t xml:space="preserve">Maximum 512 KB measured AFTER decoding, not on the base64 text — "That image is larger than 512 KB."</w:t>
            </w:r>
          </w:p>
          <w:p>
            <w:pPr>
              <w:spacing w:after="0"/>
            </w:pPr>
            <w:r>
              <w:rPr>
                <w:b w:val="false"/>
                <w:bCs w:val="false"/>
                <w:i w:val="false"/>
                <w:iCs w:val="false"/>
                <w:color w:val="000000"/>
                <w:sz w:val="18"/>
                <w:szCs w:val="18"/>
              </w:rPr>
              <w:t xml:space="preserve">Stored with the company, not on disk, so a backup restores the branding too.</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None (initials shown instead)</w:t>
            </w:r>
          </w:p>
        </w:tc>
      </w:tr>
    </w:tbl>
    <w:p>
      <w:pPr>
        <w:spacing w:after="8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900"/>
        <w:gridCol w:w="3430"/>
        <w:gridCol w:w="4030"/>
      </w:tblGrid>
      <w:tr>
        <w:trPr>
          <w:tblHeader/>
        </w:trPr>
        <w:tc>
          <w:tcPr>
            <w:tcW w:type="dxa" w:w="1900"/>
            <w:shd w:fill="1F3864" w:val="clear"/>
            <w:tcMar>
              <w:top w:type="dxa" w:w="70"/>
              <w:left w:type="dxa" w:w="110"/>
              <w:bottom w:type="dxa" w:w="70"/>
              <w:right w:type="dxa" w:w="110"/>
            </w:tcMar>
          </w:tcPr>
          <w:p>
            <w:pPr>
              <w:spacing w:after="0"/>
            </w:pPr>
            <w:r>
              <w:rPr>
                <w:b/>
                <w:bCs/>
                <w:i w:val="false"/>
                <w:iCs w:val="false"/>
                <w:color w:val="FFFFFF"/>
                <w:sz w:val="18"/>
                <w:szCs w:val="18"/>
              </w:rPr>
              <w:t xml:space="preserve">Control</w:t>
            </w:r>
          </w:p>
        </w:tc>
        <w:tc>
          <w:tcPr>
            <w:tcW w:type="dxa" w:w="3430"/>
            <w:shd w:fill="1F3864" w:val="clear"/>
            <w:tcMar>
              <w:top w:type="dxa" w:w="70"/>
              <w:left w:type="dxa" w:w="110"/>
              <w:bottom w:type="dxa" w:w="70"/>
              <w:right w:type="dxa" w:w="110"/>
            </w:tcMar>
          </w:tcPr>
          <w:p>
            <w:pPr>
              <w:spacing w:after="0"/>
            </w:pPr>
            <w:r>
              <w:rPr>
                <w:b/>
                <w:bCs/>
                <w:i w:val="false"/>
                <w:iCs w:val="false"/>
                <w:color w:val="FFFFFF"/>
                <w:sz w:val="18"/>
                <w:szCs w:val="18"/>
              </w:rPr>
              <w:t xml:space="preserve">What it does</w:t>
            </w:r>
          </w:p>
        </w:tc>
        <w:tc>
          <w:tcPr>
            <w:tcW w:type="dxa" w:w="4030"/>
            <w:shd w:fill="1F3864" w:val="clear"/>
            <w:tcMar>
              <w:top w:type="dxa" w:w="70"/>
              <w:left w:type="dxa" w:w="110"/>
              <w:bottom w:type="dxa" w:w="70"/>
              <w:right w:type="dxa" w:w="110"/>
            </w:tcMar>
          </w:tcPr>
          <w:p>
            <w:pPr>
              <w:spacing w:after="0"/>
            </w:pPr>
            <w:r>
              <w:rPr>
                <w:b/>
                <w:bCs/>
                <w:i w:val="false"/>
                <w:iCs w:val="false"/>
                <w:color w:val="FFFFFF"/>
                <w:sz w:val="18"/>
                <w:szCs w:val="18"/>
              </w:rPr>
              <w:t xml:space="preserve">Expected result</w:t>
            </w:r>
          </w:p>
        </w:tc>
      </w:tr>
      <w:tr>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Create company</w:t>
            </w:r>
          </w:p>
        </w:tc>
        <w:tc>
          <w:tcPr>
            <w:tcW w:type="dxa" w:w="34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Creates the company AND one empty model, so it can be opened immediately.</w:t>
            </w:r>
          </w:p>
        </w:tc>
        <w:tc>
          <w:tcPr>
            <w:tcW w:type="dxa" w:w="40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Flash "Company created, with one empty model to start from." Redirect to that company's page.</w:t>
            </w:r>
          </w:p>
        </w:tc>
      </w:tr>
      <w:tr>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Save company details</w:t>
            </w:r>
          </w:p>
        </w:tc>
        <w:tc>
          <w:tcPr>
            <w:tcW w:type="dxa" w:w="34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Updates name, industry, description, demo flag.</w:t>
            </w:r>
          </w:p>
        </w:tc>
        <w:tc>
          <w:tcPr>
            <w:tcW w:type="dxa" w:w="40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Flash "Company details saved."</w:t>
            </w:r>
          </w:p>
        </w:tc>
      </w:tr>
      <w:tr>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Remove logo</w:t>
            </w:r>
          </w:p>
        </w:tc>
        <w:tc>
          <w:tcPr>
            <w:tcW w:type="dxa" w:w="34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Clears the stored logo.</w:t>
            </w:r>
          </w:p>
        </w:tc>
        <w:tc>
          <w:tcPr>
            <w:tcW w:type="dxa" w:w="40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Flash "Logo removed." The header falls back to the company's initials.</w:t>
            </w:r>
          </w:p>
        </w:tc>
      </w:tr>
      <w:tr>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Enter (step into a company)</w:t>
            </w:r>
          </w:p>
        </w:tc>
        <w:tc>
          <w:tcPr>
            <w:tcW w:type="dxa" w:w="34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Acts inside another company.</w:t>
            </w:r>
          </w:p>
        </w:tc>
        <w:tc>
          <w:tcPr>
            <w:tcW w:type="dxa" w:w="40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active model is dropped so the next screen resolves a model belonging to the company now in force — a model id is never carried across a tenant boundary. An orange bar appears at the top of every page: "You are working in X, not your own company."</w:t>
            </w:r>
          </w:p>
        </w:tc>
      </w:tr>
      <w:tr>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Return to your own company</w:t>
            </w:r>
          </w:p>
        </w:tc>
        <w:tc>
          <w:tcPr>
            <w:tcW w:type="dxa" w:w="34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Ends the switch.</w:t>
            </w:r>
          </w:p>
        </w:tc>
        <w:tc>
          <w:tcPr>
            <w:tcW w:type="dxa" w:w="40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Flash "Returned to your own company." Active model dropped again.</w:t>
            </w:r>
          </w:p>
        </w:tc>
      </w:tr>
    </w:tbl>
    <w:p>
      <w:pPr>
        <w:spacing w:after="120"/>
      </w:pPr>
    </w:p>
    <w:p>
      <w:pPr>
        <w:pStyle w:val="Heading2"/>
        <w:spacing w:after="120" w:before="280"/>
      </w:pPr>
      <w:r>
        <w:t xml:space="preserve">2.23  Administration — Users &amp; access  —  /admin/users</w:t>
      </w:r>
    </w:p>
    <w:p>
      <w:pPr>
        <w:spacing w:after="120"/>
      </w:pPr>
      <w:r>
        <w:rPr>
          <w:b w:val="false"/>
          <w:bCs w:val="false"/>
          <w:i w:val="false"/>
          <w:iCs w:val="false"/>
          <w:sz w:val="20"/>
          <w:szCs w:val="20"/>
        </w:rPr>
        <w:t xml:space="preserve">Purpose: create users, set what each may do, activate or deactivate them, and set passwords. Users are always created inside the company currently being administered — never a company id posted from the form.</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850"/>
        <w:gridCol w:w="1000"/>
        <w:gridCol w:w="620"/>
        <w:gridCol w:w="2100"/>
        <w:gridCol w:w="2440"/>
        <w:gridCol w:w="1350"/>
      </w:tblGrid>
      <w:tr>
        <w:trPr>
          <w:tblHeader/>
        </w:trPr>
        <w:tc>
          <w:tcPr>
            <w:tcW w:type="dxa" w:w="1850"/>
            <w:shd w:fill="1F3864" w:val="clear"/>
            <w:tcMar>
              <w:top w:type="dxa" w:w="70"/>
              <w:left w:type="dxa" w:w="110"/>
              <w:bottom w:type="dxa" w:w="70"/>
              <w:right w:type="dxa" w:w="110"/>
            </w:tcMar>
          </w:tcPr>
          <w:p>
            <w:pPr>
              <w:spacing w:after="0"/>
            </w:pPr>
            <w:r>
              <w:rPr>
                <w:b/>
                <w:bCs/>
                <w:i w:val="false"/>
                <w:iCs w:val="false"/>
                <w:color w:val="FFFFFF"/>
                <w:sz w:val="18"/>
                <w:szCs w:val="18"/>
              </w:rPr>
              <w:t xml:space="preserve">Field</w:t>
            </w:r>
          </w:p>
        </w:tc>
        <w:tc>
          <w:tcPr>
            <w:tcW w:type="dxa" w:w="1000"/>
            <w:shd w:fill="1F3864" w:val="clear"/>
            <w:tcMar>
              <w:top w:type="dxa" w:w="70"/>
              <w:left w:type="dxa" w:w="110"/>
              <w:bottom w:type="dxa" w:w="70"/>
              <w:right w:type="dxa" w:w="110"/>
            </w:tcMar>
          </w:tcPr>
          <w:p>
            <w:pPr>
              <w:spacing w:after="0"/>
            </w:pPr>
            <w:r>
              <w:rPr>
                <w:b/>
                <w:bCs/>
                <w:i w:val="false"/>
                <w:iCs w:val="false"/>
                <w:color w:val="FFFFFF"/>
                <w:sz w:val="18"/>
                <w:szCs w:val="18"/>
              </w:rPr>
              <w:t xml:space="preserve">Type</w:t>
            </w:r>
          </w:p>
        </w:tc>
        <w:tc>
          <w:tcPr>
            <w:tcW w:type="dxa" w:w="620"/>
            <w:shd w:fill="1F3864" w:val="clear"/>
            <w:tcMar>
              <w:top w:type="dxa" w:w="70"/>
              <w:left w:type="dxa" w:w="110"/>
              <w:bottom w:type="dxa" w:w="70"/>
              <w:right w:type="dxa" w:w="110"/>
            </w:tcMar>
          </w:tcPr>
          <w:p>
            <w:pPr>
              <w:spacing w:after="0"/>
            </w:pPr>
            <w:r>
              <w:rPr>
                <w:b/>
                <w:bCs/>
                <w:i w:val="false"/>
                <w:iCs w:val="false"/>
                <w:color w:val="FFFFFF"/>
                <w:sz w:val="18"/>
                <w:szCs w:val="18"/>
              </w:rPr>
              <w:t xml:space="preserve">Req.</w:t>
            </w:r>
          </w:p>
        </w:tc>
        <w:tc>
          <w:tcPr>
            <w:tcW w:type="dxa" w:w="2100"/>
            <w:shd w:fill="1F3864" w:val="clear"/>
            <w:tcMar>
              <w:top w:type="dxa" w:w="70"/>
              <w:left w:type="dxa" w:w="110"/>
              <w:bottom w:type="dxa" w:w="70"/>
              <w:right w:type="dxa" w:w="110"/>
            </w:tcMar>
          </w:tcPr>
          <w:p>
            <w:pPr>
              <w:spacing w:after="0"/>
            </w:pPr>
            <w:r>
              <w:rPr>
                <w:b/>
                <w:bCs/>
                <w:i w:val="false"/>
                <w:iCs w:val="false"/>
                <w:color w:val="FFFFFF"/>
                <w:sz w:val="18"/>
                <w:szCs w:val="18"/>
              </w:rPr>
              <w:t xml:space="preserve">Accepted values / format</w:t>
            </w:r>
          </w:p>
        </w:tc>
        <w:tc>
          <w:tcPr>
            <w:tcW w:type="dxa" w:w="2440"/>
            <w:shd w:fill="1F3864" w:val="clear"/>
            <w:tcMar>
              <w:top w:type="dxa" w:w="70"/>
              <w:left w:type="dxa" w:w="110"/>
              <w:bottom w:type="dxa" w:w="70"/>
              <w:right w:type="dxa" w:w="110"/>
            </w:tcMar>
          </w:tcPr>
          <w:p>
            <w:pPr>
              <w:spacing w:after="0"/>
            </w:pPr>
            <w:r>
              <w:rPr>
                <w:b/>
                <w:bCs/>
                <w:i w:val="false"/>
                <w:iCs w:val="false"/>
                <w:color w:val="FFFFFF"/>
                <w:sz w:val="18"/>
                <w:szCs w:val="18"/>
              </w:rPr>
              <w:t xml:space="preserve">Validation &amp; limits</w:t>
            </w:r>
          </w:p>
        </w:tc>
        <w:tc>
          <w:tcPr>
            <w:tcW w:type="dxa" w:w="1350"/>
            <w:shd w:fill="1F3864" w:val="clear"/>
            <w:tcMar>
              <w:top w:type="dxa" w:w="70"/>
              <w:left w:type="dxa" w:w="110"/>
              <w:bottom w:type="dxa" w:w="70"/>
              <w:right w:type="dxa" w:w="110"/>
            </w:tcMar>
          </w:tcPr>
          <w:p>
            <w:pPr>
              <w:spacing w:after="0"/>
            </w:pPr>
            <w:r>
              <w:rPr>
                <w:b/>
                <w:bCs/>
                <w:i w:val="false"/>
                <w:iCs w:val="false"/>
                <w:color w:val="FFFFFF"/>
                <w:sz w:val="18"/>
                <w:szCs w:val="18"/>
              </w:rPr>
              <w:t xml:space="preserve">Default</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Name</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Text</w:t>
            </w:r>
          </w:p>
        </w:tc>
        <w:tc>
          <w:tcPr>
            <w:tcW w:type="dxa" w:w="620"/>
            <w:shd w:fill="FFFFFF" w:val="clear"/>
            <w:tcMar>
              <w:top w:type="dxa" w:w="70"/>
              <w:left w:type="dxa" w:w="110"/>
              <w:bottom w:type="dxa" w:w="70"/>
              <w:right w:type="dxa" w:w="110"/>
            </w:tcMar>
          </w:tcPr>
          <w:p>
            <w:pPr>
              <w:spacing w:after="0"/>
            </w:pPr>
            <w:r>
              <w:rPr>
                <w:b/>
                <w:bCs/>
                <w:i w:val="false"/>
                <w:iCs w:val="false"/>
                <w:color w:val="000000"/>
                <w:sz w:val="18"/>
                <w:szCs w:val="18"/>
              </w:rPr>
              <w:t xml:space="preserve">Yes</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person's name.</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Column holds 160.</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Empty</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Email</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Email</w:t>
            </w:r>
          </w:p>
        </w:tc>
        <w:tc>
          <w:tcPr>
            <w:tcW w:type="dxa" w:w="620"/>
            <w:shd w:fill="F7F9FC" w:val="clear"/>
            <w:tcMar>
              <w:top w:type="dxa" w:w="70"/>
              <w:left w:type="dxa" w:w="110"/>
              <w:bottom w:type="dxa" w:w="70"/>
              <w:right w:type="dxa" w:w="110"/>
            </w:tcMar>
          </w:tcPr>
          <w:p>
            <w:pPr>
              <w:spacing w:after="0"/>
            </w:pPr>
            <w:r>
              <w:rPr>
                <w:b/>
                <w:bCs/>
                <w:i w:val="false"/>
                <w:iCs w:val="false"/>
                <w:color w:val="000000"/>
                <w:sz w:val="18"/>
                <w:szCs w:val="18"/>
              </w:rPr>
              <w:t xml:space="preserve">Yes</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Unique WITHIN the company, not globally — the same person may hold accounts at more than one company.</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 duplicate within the company produces a red flash carrying the database error.</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Empty</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Username</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Text</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short handle.</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Column holds 80.</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Empty</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Role</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w:t>
            </w:r>
          </w:p>
        </w:tc>
        <w:tc>
          <w:tcPr>
            <w:tcW w:type="dxa" w:w="620"/>
            <w:shd w:fill="F7F9FC" w:val="clear"/>
            <w:tcMar>
              <w:top w:type="dxa" w:w="70"/>
              <w:left w:type="dxa" w:w="110"/>
              <w:bottom w:type="dxa" w:w="70"/>
              <w:right w:type="dxa" w:w="110"/>
            </w:tcMar>
          </w:tcPr>
          <w:p>
            <w:pPr>
              <w:spacing w:after="0"/>
            </w:pPr>
            <w:r>
              <w:rPr>
                <w:b/>
                <w:bCs/>
                <w:i w:val="false"/>
                <w:iCs w:val="false"/>
                <w:color w:val="000000"/>
                <w:sz w:val="18"/>
                <w:szCs w:val="18"/>
              </w:rPr>
              <w:t xml:space="preserve">Yes</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Super administrator / Administrator / Model manager / Analyst (read-only) / Board — outputs only.</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 value outside that list is refused: "Choose a role for the new user."</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None — must be chosen</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Authorities</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Text</w:t>
            </w:r>
          </w:p>
        </w:tc>
        <w:tc>
          <w:tcPr>
            <w:tcW w:type="dxa" w:w="62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What this profile may do, in the administrator's own words. Shown in the profile menu.</w:t>
            </w:r>
          </w:p>
        </w:tc>
        <w:tc>
          <w:tcPr>
            <w:tcW w:type="dxa" w:w="244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Free text; column holds 500. Descriptive only — it grants nothing.</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Empty</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Platform administrator</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Checkbox</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Yes / No.</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Only a platform administrator can create another one; the flag is ignored otherwise.</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r>
      <w:tr>
        <w:tc>
          <w:tcPr>
            <w:tcW w:type="dxa" w:w="18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Password</w:t>
            </w:r>
          </w:p>
        </w:tc>
        <w:tc>
          <w:tcPr>
            <w:tcW w:type="dxa" w:w="1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Text</w:t>
            </w:r>
          </w:p>
        </w:tc>
        <w:tc>
          <w:tcPr>
            <w:tcW w:type="dxa" w:w="620"/>
            <w:shd w:fill="FFFFFF" w:val="clear"/>
            <w:tcMar>
              <w:top w:type="dxa" w:w="70"/>
              <w:left w:type="dxa" w:w="110"/>
              <w:bottom w:type="dxa" w:w="70"/>
              <w:right w:type="dxa" w:w="110"/>
            </w:tcMar>
          </w:tcPr>
          <w:p>
            <w:pPr>
              <w:spacing w:after="0"/>
            </w:pPr>
            <w:r>
              <w:rPr>
                <w:b/>
                <w:bCs/>
                <w:i w:val="false"/>
                <w:iCs w:val="false"/>
                <w:color w:val="000000"/>
                <w:sz w:val="18"/>
                <w:szCs w:val="18"/>
              </w:rPr>
              <w:t xml:space="preserve">Yes</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At least 12 characters.</w:t>
            </w:r>
          </w:p>
        </w:tc>
        <w:tc>
          <w:tcPr>
            <w:tcW w:type="dxa" w:w="2440"/>
            <w:shd w:fill="FFFFFF" w:val="clear"/>
            <w:tcMar>
              <w:top w:type="dxa" w:w="70"/>
              <w:left w:type="dxa" w:w="110"/>
              <w:bottom w:type="dxa" w:w="70"/>
              <w:right w:type="dxa" w:w="110"/>
            </w:tcMar>
          </w:tcPr>
          <w:p>
            <w:pPr>
              <w:spacing w:after="40"/>
            </w:pPr>
            <w:r>
              <w:rPr>
                <w:b w:val="false"/>
                <w:bCs w:val="false"/>
                <w:i w:val="false"/>
                <w:iCs w:val="false"/>
                <w:color w:val="000000"/>
                <w:sz w:val="18"/>
                <w:szCs w:val="18"/>
              </w:rPr>
              <w:t xml:space="preserve">Refused below 12 characters: "A password must be at least 12 characters." Refused if it starts or ends with a space.</w:t>
            </w:r>
          </w:p>
          <w:p>
            <w:pPr>
              <w:spacing w:after="0"/>
            </w:pPr>
            <w:r>
              <w:rPr>
                <w:b w:val="false"/>
                <w:bCs w:val="false"/>
                <w:i w:val="false"/>
                <w:iCs w:val="false"/>
                <w:color w:val="000000"/>
                <w:sz w:val="18"/>
                <w:szCs w:val="18"/>
              </w:rPr>
              <w:t xml:space="preserve">There is no complexity rule — length is the whole policy.</w:t>
            </w:r>
          </w:p>
        </w:tc>
        <w:tc>
          <w:tcPr>
            <w:tcW w:type="dxa" w:w="135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generated suggestion is offered</w:t>
            </w:r>
          </w:p>
        </w:tc>
      </w:tr>
      <w:tr>
        <w:tc>
          <w:tcPr>
            <w:tcW w:type="dxa" w:w="18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Active</w:t>
            </w:r>
          </w:p>
        </w:tc>
        <w:tc>
          <w:tcPr>
            <w:tcW w:type="dxa" w:w="1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Dropdown</w:t>
            </w:r>
          </w:p>
        </w:tc>
        <w:tc>
          <w:tcPr>
            <w:tcW w:type="dxa" w:w="62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Yes / No.</w:t>
            </w:r>
          </w:p>
        </w:tc>
        <w:tc>
          <w:tcPr>
            <w:tcW w:type="dxa" w:w="244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An inactive user can never sign in and is signed out on their next request.</w:t>
            </w:r>
          </w:p>
        </w:tc>
        <w:tc>
          <w:tcPr>
            <w:tcW w:type="dxa" w:w="135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Yes</w:t>
            </w:r>
          </w:p>
        </w:tc>
      </w:tr>
    </w:tbl>
    <w:p>
      <w:pPr>
        <w:spacing w:after="80"/>
      </w:pPr>
    </w:p>
    <w:p>
      <w:pPr>
        <w:pStyle w:val="Heading3"/>
        <w:spacing w:after="100" w:before="220"/>
      </w:pPr>
      <w:r>
        <w:t xml:space="preserve">Guard rails that must be tested</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5400"/>
        <w:gridCol w:w="3960"/>
      </w:tblGrid>
      <w:tr>
        <w:trPr>
          <w:tblHeader/>
        </w:trPr>
        <w:tc>
          <w:tcPr>
            <w:tcW w:type="dxa" w:w="5400"/>
            <w:shd w:fill="1F3864" w:val="clear"/>
            <w:tcMar>
              <w:top w:type="dxa" w:w="70"/>
              <w:left w:type="dxa" w:w="110"/>
              <w:bottom w:type="dxa" w:w="70"/>
              <w:right w:type="dxa" w:w="110"/>
            </w:tcMar>
          </w:tcPr>
          <w:p>
            <w:pPr>
              <w:spacing w:after="0"/>
            </w:pPr>
            <w:r>
              <w:rPr>
                <w:b/>
                <w:bCs/>
                <w:i w:val="false"/>
                <w:iCs w:val="false"/>
                <w:color w:val="FFFFFF"/>
                <w:sz w:val="18"/>
                <w:szCs w:val="18"/>
              </w:rPr>
              <w:t xml:space="preserve">Rule</w:t>
            </w:r>
          </w:p>
        </w:tc>
        <w:tc>
          <w:tcPr>
            <w:tcW w:type="dxa" w:w="3960"/>
            <w:shd w:fill="1F3864" w:val="clear"/>
            <w:tcMar>
              <w:top w:type="dxa" w:w="70"/>
              <w:left w:type="dxa" w:w="110"/>
              <w:bottom w:type="dxa" w:w="70"/>
              <w:right w:type="dxa" w:w="110"/>
            </w:tcMar>
          </w:tcPr>
          <w:p>
            <w:pPr>
              <w:spacing w:after="0"/>
            </w:pPr>
            <w:r>
              <w:rPr>
                <w:b/>
                <w:bCs/>
                <w:i w:val="false"/>
                <w:iCs w:val="false"/>
                <w:color w:val="FFFFFF"/>
                <w:sz w:val="18"/>
                <w:szCs w:val="18"/>
              </w:rPr>
              <w:t xml:space="preserve">Message when it triggers</w:t>
            </w:r>
          </w:p>
        </w:tc>
      </w:tr>
      <w:tr>
        <w:tc>
          <w:tcPr>
            <w:tcW w:type="dxa" w:w="5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company must keep at least one active Administrator. Changing the last one's role, or deactivating them, is refused.</w:t>
            </w:r>
          </w:p>
        </w:tc>
        <w:tc>
          <w:tcPr>
            <w:tcW w:type="dxa" w:w="3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"This is the last active administrator of this company — give somebody else that role first."</w:t>
            </w:r>
          </w:p>
        </w:tc>
      </w:tr>
      <w:tr>
        <w:tc>
          <w:tcPr>
            <w:tcW w:type="dxa" w:w="5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platform must keep at least one platform administrator.</w:t>
            </w:r>
          </w:p>
        </w:tc>
        <w:tc>
          <w:tcPr>
            <w:tcW w:type="dxa" w:w="39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"This is the last platform administrator — appoint another one first."</w:t>
            </w:r>
          </w:p>
        </w:tc>
      </w:tr>
      <w:tr>
        <w:tc>
          <w:tcPr>
            <w:tcW w:type="dxa" w:w="5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user id that does not belong to the company being administered.</w:t>
            </w:r>
          </w:p>
        </w:tc>
        <w:tc>
          <w:tcPr>
            <w:tcW w:type="dxa" w:w="3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Silently redirected to /admin/users; nothing changes.</w:t>
            </w:r>
          </w:p>
        </w:tc>
      </w:tr>
    </w:tbl>
    <w:p>
      <w:pPr>
        <w:spacing w:after="8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900"/>
        <w:gridCol w:w="3430"/>
        <w:gridCol w:w="4030"/>
      </w:tblGrid>
      <w:tr>
        <w:trPr>
          <w:tblHeader/>
        </w:trPr>
        <w:tc>
          <w:tcPr>
            <w:tcW w:type="dxa" w:w="1900"/>
            <w:shd w:fill="1F3864" w:val="clear"/>
            <w:tcMar>
              <w:top w:type="dxa" w:w="70"/>
              <w:left w:type="dxa" w:w="110"/>
              <w:bottom w:type="dxa" w:w="70"/>
              <w:right w:type="dxa" w:w="110"/>
            </w:tcMar>
          </w:tcPr>
          <w:p>
            <w:pPr>
              <w:spacing w:after="0"/>
            </w:pPr>
            <w:r>
              <w:rPr>
                <w:b/>
                <w:bCs/>
                <w:i w:val="false"/>
                <w:iCs w:val="false"/>
                <w:color w:val="FFFFFF"/>
                <w:sz w:val="18"/>
                <w:szCs w:val="18"/>
              </w:rPr>
              <w:t xml:space="preserve">Control</w:t>
            </w:r>
          </w:p>
        </w:tc>
        <w:tc>
          <w:tcPr>
            <w:tcW w:type="dxa" w:w="3430"/>
            <w:shd w:fill="1F3864" w:val="clear"/>
            <w:tcMar>
              <w:top w:type="dxa" w:w="70"/>
              <w:left w:type="dxa" w:w="110"/>
              <w:bottom w:type="dxa" w:w="70"/>
              <w:right w:type="dxa" w:w="110"/>
            </w:tcMar>
          </w:tcPr>
          <w:p>
            <w:pPr>
              <w:spacing w:after="0"/>
            </w:pPr>
            <w:r>
              <w:rPr>
                <w:b/>
                <w:bCs/>
                <w:i w:val="false"/>
                <w:iCs w:val="false"/>
                <w:color w:val="FFFFFF"/>
                <w:sz w:val="18"/>
                <w:szCs w:val="18"/>
              </w:rPr>
              <w:t xml:space="preserve">What it does</w:t>
            </w:r>
          </w:p>
        </w:tc>
        <w:tc>
          <w:tcPr>
            <w:tcW w:type="dxa" w:w="4030"/>
            <w:shd w:fill="1F3864" w:val="clear"/>
            <w:tcMar>
              <w:top w:type="dxa" w:w="70"/>
              <w:left w:type="dxa" w:w="110"/>
              <w:bottom w:type="dxa" w:w="70"/>
              <w:right w:type="dxa" w:w="110"/>
            </w:tcMar>
          </w:tcPr>
          <w:p>
            <w:pPr>
              <w:spacing w:after="0"/>
            </w:pPr>
            <w:r>
              <w:rPr>
                <w:b/>
                <w:bCs/>
                <w:i w:val="false"/>
                <w:iCs w:val="false"/>
                <w:color w:val="FFFFFF"/>
                <w:sz w:val="18"/>
                <w:szCs w:val="18"/>
              </w:rPr>
              <w:t xml:space="preserve">Expected result</w:t>
            </w:r>
          </w:p>
        </w:tc>
      </w:tr>
      <w:tr>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Create user</w:t>
            </w:r>
          </w:p>
        </w:tc>
        <w:tc>
          <w:tcPr>
            <w:tcW w:type="dxa" w:w="34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Adds the user to the company currently being administered.</w:t>
            </w:r>
          </w:p>
        </w:tc>
        <w:tc>
          <w:tcPr>
            <w:tcW w:type="dxa" w:w="40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Flash "User created."</w:t>
            </w:r>
          </w:p>
        </w:tc>
      </w:tr>
      <w:tr>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Update access</w:t>
            </w:r>
          </w:p>
        </w:tc>
        <w:tc>
          <w:tcPr>
            <w:tcW w:type="dxa" w:w="34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Changes name, username, role, authorities, active flag, platform flag.</w:t>
            </w:r>
          </w:p>
        </w:tc>
        <w:tc>
          <w:tcPr>
            <w:tcW w:type="dxa" w:w="403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Flash "Access updated." Guard rails above apply.</w:t>
            </w:r>
          </w:p>
        </w:tc>
      </w:tr>
      <w:tr>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Set password</w:t>
            </w:r>
          </w:p>
        </w:tc>
        <w:tc>
          <w:tcPr>
            <w:tcW w:type="dxa" w:w="343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Generates or accepts a password and stores its bcrypt hash.</w:t>
            </w:r>
          </w:p>
        </w:tc>
        <w:tc>
          <w:tcPr>
            <w:tcW w:type="dxa" w:w="4030"/>
            <w:shd w:fill="FFFFFF" w:val="clear"/>
            <w:tcMar>
              <w:top w:type="dxa" w:w="70"/>
              <w:left w:type="dxa" w:w="110"/>
              <w:bottom w:type="dxa" w:w="70"/>
              <w:right w:type="dxa" w:w="110"/>
            </w:tcMar>
          </w:tcPr>
          <w:p>
            <w:pPr>
              <w:spacing w:after="40"/>
            </w:pPr>
            <w:r>
              <w:rPr>
                <w:b w:val="false"/>
                <w:bCs w:val="false"/>
                <w:i w:val="false"/>
                <w:iCs w:val="false"/>
                <w:color w:val="000000"/>
                <w:sz w:val="18"/>
                <w:szCs w:val="18"/>
              </w:rPr>
              <w:t xml:space="preserve">Flash "Password set. It is shown once below — pass it on and it will not be shown again." The plain text is displayed exactly once, on the page that set it, and is then deleted from the session.</w:t>
            </w:r>
          </w:p>
          <w:p>
            <w:pPr>
              <w:spacing w:after="0"/>
            </w:pPr>
            <w:r>
              <w:rPr>
                <w:b w:val="false"/>
                <w:bCs w:val="false"/>
                <w:i w:val="false"/>
                <w:iCs w:val="false"/>
                <w:color w:val="000000"/>
                <w:sz w:val="18"/>
                <w:szCs w:val="18"/>
              </w:rPr>
              <w:t xml:space="preserve">There is no way to read an existing password — only the hash is kept.</w:t>
            </w:r>
          </w:p>
        </w:tc>
      </w:tr>
    </w:tbl>
    <w:p>
      <w:pPr>
        <w:spacing w:after="120"/>
      </w:pPr>
    </w:p>
    <w:p>
      <w:pPr>
        <w:pStyle w:val="Heading2"/>
        <w:spacing w:after="120" w:before="280"/>
      </w:pPr>
      <w:r>
        <w:t xml:space="preserve">2.24  Error pages</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700"/>
        <w:gridCol w:w="3400"/>
        <w:gridCol w:w="5260"/>
      </w:tblGrid>
      <w:tr>
        <w:trPr>
          <w:tblHeader/>
        </w:trPr>
        <w:tc>
          <w:tcPr>
            <w:tcW w:type="dxa" w:w="700"/>
            <w:shd w:fill="1F3864" w:val="clear"/>
            <w:tcMar>
              <w:top w:type="dxa" w:w="70"/>
              <w:left w:type="dxa" w:w="110"/>
              <w:bottom w:type="dxa" w:w="70"/>
              <w:right w:type="dxa" w:w="110"/>
            </w:tcMar>
          </w:tcPr>
          <w:p>
            <w:pPr>
              <w:spacing w:after="0"/>
            </w:pPr>
            <w:r>
              <w:rPr>
                <w:b/>
                <w:bCs/>
                <w:i w:val="false"/>
                <w:iCs w:val="false"/>
                <w:color w:val="FFFFFF"/>
                <w:sz w:val="18"/>
                <w:szCs w:val="18"/>
              </w:rPr>
              <w:t xml:space="preserve">Status</w:t>
            </w:r>
          </w:p>
        </w:tc>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When</w:t>
            </w:r>
          </w:p>
        </w:tc>
        <w:tc>
          <w:tcPr>
            <w:tcW w:type="dxa" w:w="5260"/>
            <w:shd w:fill="1F3864" w:val="clear"/>
            <w:tcMar>
              <w:top w:type="dxa" w:w="70"/>
              <w:left w:type="dxa" w:w="110"/>
              <w:bottom w:type="dxa" w:w="70"/>
              <w:right w:type="dxa" w:w="110"/>
            </w:tcMar>
          </w:tcPr>
          <w:p>
            <w:pPr>
              <w:spacing w:after="0"/>
            </w:pPr>
            <w:r>
              <w:rPr>
                <w:b/>
                <w:bCs/>
                <w:i w:val="false"/>
                <w:iCs w:val="false"/>
                <w:color w:val="FFFFFF"/>
                <w:sz w:val="18"/>
                <w:szCs w:val="18"/>
              </w:rPr>
              <w:t xml:space="preserve">What the user sees</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403</w:t>
            </w:r>
          </w:p>
        </w:tc>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CSRF token missing or wrong.</w:t>
            </w:r>
          </w:p>
        </w:tc>
        <w:tc>
          <w:tcPr>
            <w:tcW w:type="dxa" w:w="5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"Your session expired" — "For security the form could not be verified. Sign in again and retry." Links to sign in.</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403</w:t>
            </w:r>
          </w:p>
        </w:tc>
        <w:tc>
          <w:tcPr>
            <w:tcW w:type="dxa" w:w="3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 read-only role attempts a write.</w:t>
            </w:r>
          </w:p>
        </w:tc>
        <w:tc>
          <w:tcPr>
            <w:tcW w:type="dxa" w:w="5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"This account cannot make changes" — links back to the referring page. If the request accepts JSON but not HTML, a JSON body is returned instead.</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403</w:t>
            </w:r>
          </w:p>
        </w:tc>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Board / outputs-only role opens /inputs or /data.</w:t>
            </w:r>
          </w:p>
        </w:tc>
        <w:tc>
          <w:tcPr>
            <w:tcW w:type="dxa" w:w="5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"Inputs are not part of your access" — links to the outputs.</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403</w:t>
            </w:r>
          </w:p>
        </w:tc>
        <w:tc>
          <w:tcPr>
            <w:tcW w:type="dxa" w:w="3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Non-super account opens /admin/*.</w:t>
            </w:r>
          </w:p>
        </w:tc>
        <w:tc>
          <w:tcPr>
            <w:tcW w:type="dxa" w:w="5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"Administration is not available to this account" / "Managing users is not available to this account".</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403</w:t>
            </w:r>
          </w:p>
        </w:tc>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Super administrator POSTs to a model route.</w:t>
            </w:r>
          </w:p>
        </w:tc>
        <w:tc>
          <w:tcPr>
            <w:tcW w:type="dxa" w:w="5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"This account manages access, not models". A GET is redirected to /admin/companies instead.</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423</w:t>
            </w:r>
          </w:p>
        </w:tc>
        <w:tc>
          <w:tcPr>
            <w:tcW w:type="dxa" w:w="3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Any write to a closed model, by a user who could otherwise edit.</w:t>
            </w:r>
          </w:p>
        </w:tc>
        <w:tc>
          <w:tcPr>
            <w:tcW w:type="dxa" w:w="5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"This model is closed" — "Duplicate it from the Models screen and work on the copy." A read-only user is shown the ordinary 403 instead, because being told the model is closed would not be their real problem.</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404</w:t>
            </w:r>
          </w:p>
        </w:tc>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Unknown URL.</w:t>
            </w:r>
          </w:p>
        </w:tc>
        <w:tc>
          <w:tcPr>
            <w:tcW w:type="dxa" w:w="5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"That page does not exist — Nothing is served at /x."</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404</w:t>
            </w:r>
          </w:p>
        </w:tc>
        <w:tc>
          <w:tcPr>
            <w:tcW w:type="dxa" w:w="3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 model exists for the company.</w:t>
            </w:r>
          </w:p>
        </w:tc>
        <w:tc>
          <w:tcPr>
            <w:tcW w:type="dxa" w:w="5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"This company has no model yet" — wording differs for editors and readers.</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500</w:t>
            </w:r>
          </w:p>
        </w:tc>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Any unhandled server error.</w:t>
            </w:r>
          </w:p>
        </w:tc>
        <w:tc>
          <w:tcPr>
            <w:tcW w:type="dxa" w:w="5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server hit an error." The real message is shown in development and hidden in production.</w:t>
            </w:r>
          </w:p>
        </w:tc>
      </w:tr>
    </w:tbl>
    <w:p>
      <w:r>
        <w:br w:type="page"/>
      </w:r>
    </w:p>
    <w:p>
      <w:pPr>
        <w:pStyle w:val="Heading1"/>
        <w:spacing w:after="160" w:before="360"/>
      </w:pPr>
      <w:r>
        <w:t xml:space="preserve">3. Financial Calculations</w:t>
      </w:r>
    </w:p>
    <w:tbl>
      <w:tblPr>
        <w:tblW w:type="dxa" w:w="9360"/>
        <w:tblBorders>
          <w:top w:val="single" w:color="D5DEE8" w:sz="2"/>
          <w:left w:val="single" w:color="2E5C8A" w:sz="12"/>
          <w:bottom w:val="single" w:color="D5DEE8" w:sz="2"/>
          <w:right w:val="single" w:color="D5DEE8" w:sz="2"/>
          <w:insideH w:val="none"/>
          <w:insideV w:val="none"/>
        </w:tblBorders>
      </w:tblPr>
      <w:tblGrid>
        <w:gridCol w:w="9360"/>
      </w:tblGrid>
      <w:tr>
        <w:tc>
          <w:tcPr>
            <w:tcW w:type="dxa" w:w="9360"/>
            <w:shd w:fill="EDF2F8" w:val="clear"/>
            <w:tcMar>
              <w:top w:type="dxa" w:w="120"/>
              <w:left w:type="dxa" w:w="180"/>
              <w:bottom w:type="dxa" w:w="120"/>
              <w:right w:type="dxa" w:w="180"/>
            </w:tcMar>
          </w:tcPr>
          <w:p>
            <w:pPr>
              <w:spacing w:after="60"/>
            </w:pPr>
            <w:r>
              <w:rPr>
                <w:b/>
                <w:bCs/>
                <w:color w:val="1F3864"/>
                <w:sz w:val="20"/>
                <w:szCs w:val="20"/>
              </w:rPr>
              <w:t xml:space="preserve">Rounding and precision — read this first</w:t>
            </w:r>
          </w:p>
          <w:p>
            <w:pPr>
              <w:spacing w:after="60"/>
            </w:pPr>
            <w:r>
              <w:rPr>
                <w:sz w:val="19"/>
                <w:szCs w:val="19"/>
              </w:rPr>
              <w:t xml:space="preserve">The engine does NOT round intermediate results. Every calculation runs at full floating-point precision from input to output; rounding happens only at the point of display.</w:t>
            </w:r>
          </w:p>
          <w:p>
            <w:pPr>
              <w:spacing w:after="60"/>
            </w:pPr>
            <w:r>
              <w:rPr>
                <w:sz w:val="19"/>
                <w:szCs w:val="19"/>
              </w:rPr>
              <w:t xml:space="preserve">Display: money 0 decimal places with thousands separators and negatives in (parentheses); percentages 1 decimal place; ratios 2 decimal places; day counts 0 decimal places.</w:t>
            </w:r>
          </w:p>
          <w:p>
            <w:pPr>
              <w:spacing w:after="60"/>
            </w:pPr>
            <w:r>
              <w:rPr>
                <w:sz w:val="19"/>
                <w:szCs w:val="19"/>
              </w:rPr>
              <w:t xml:space="preserve">Input fields redisplay amounts at 2 decimals, day counts at 1 decimal, percentages at up to 4 decimals.</w:t>
            </w:r>
          </w:p>
          <w:p>
            <w:pPr>
              <w:spacing w:after="60"/>
            </w:pPr>
            <w:r>
              <w:rPr>
                <w:sz w:val="19"/>
                <w:szCs w:val="19"/>
              </w:rPr>
              <w:t xml:space="preserve">CSV export writes 2 decimal places for every amount.</w:t>
            </w:r>
          </w:p>
          <w:p>
            <w:pPr>
              <w:spacing w:after="60"/>
            </w:pPr>
            <w:r>
              <w:rPr>
                <w:sz w:val="19"/>
                <w:szCs w:val="19"/>
              </w:rPr>
              <w:t xml:space="preserve">Integrity checks round to 2 decimals and then allow a tolerance of 0.50 in model currency. So a difference of 0.40 reports as balanced.</w:t>
            </w:r>
          </w:p>
          <w:p>
            <w:pPr>
              <w:spacing w:after="0"/>
            </w:pPr>
            <w:r>
              <w:rPr>
                <w:sz w:val="19"/>
                <w:szCs w:val="19"/>
              </w:rPr>
              <w:t xml:space="preserve">Because nothing is rounded in between, a QA figure computed at 2dp per step will drift slightly from the screen. Compute at full precision and round only at the end.</w:t>
            </w:r>
          </w:p>
        </w:tc>
      </w:tr>
    </w:tbl>
    <w:p>
      <w:pPr>
        <w:spacing w:after="120"/>
      </w:pPr>
    </w:p>
    <w:tbl>
      <w:tblPr>
        <w:tblW w:type="dxa" w:w="9360"/>
        <w:tblBorders>
          <w:top w:val="single" w:color="D5DEE8" w:sz="2"/>
          <w:left w:val="single" w:color="2E5C8A" w:sz="12"/>
          <w:bottom w:val="single" w:color="D5DEE8" w:sz="2"/>
          <w:right w:val="single" w:color="D5DEE8" w:sz="2"/>
          <w:insideH w:val="none"/>
          <w:insideV w:val="none"/>
        </w:tblBorders>
      </w:tblPr>
      <w:tblGrid>
        <w:gridCol w:w="9360"/>
      </w:tblGrid>
      <w:tr>
        <w:tc>
          <w:tcPr>
            <w:tcW w:type="dxa" w:w="9360"/>
            <w:shd w:fill="EDF2F8" w:val="clear"/>
            <w:tcMar>
              <w:top w:type="dxa" w:w="120"/>
              <w:left w:type="dxa" w:w="180"/>
              <w:bottom w:type="dxa" w:w="120"/>
              <w:right w:type="dxa" w:w="180"/>
            </w:tcMar>
          </w:tcPr>
          <w:p>
            <w:pPr>
              <w:spacing w:after="60"/>
            </w:pPr>
            <w:r>
              <w:rPr>
                <w:b/>
                <w:bCs/>
                <w:color w:val="1F3864"/>
                <w:sz w:val="20"/>
                <w:szCs w:val="20"/>
              </w:rPr>
              <w:t xml:space="preserve">Two structural rules behind every formula</w:t>
            </w:r>
          </w:p>
          <w:p>
            <w:pPr>
              <w:spacing w:after="60"/>
            </w:pPr>
            <w:r>
              <w:rPr>
                <w:sz w:val="19"/>
                <w:szCs w:val="19"/>
              </w:rPr>
              <w:t xml:space="preserve">No circular references. Interest is always charged on OPENING balances, which breaks the interest → debt → cash → profit → interest loop. One forward pass per year produces the final answer; there is no iteration.</w:t>
            </w:r>
          </w:p>
          <w:p>
            <w:pPr>
              <w:spacing w:after="0"/>
            </w:pPr>
            <w:r>
              <w:rPr>
                <w:sz w:val="19"/>
                <w:szCs w:val="19"/>
              </w:rPr>
              <w:t xml:space="preserve">The order of calculation within a year is fixed: revenue → costs → EBITDA → depreciation → EBIT → interest → profit before levy → levies → net profit → dividends → working capital → cash flow → closing balances.</w:t>
            </w:r>
          </w:p>
        </w:tc>
      </w:tr>
    </w:tbl>
    <w:p>
      <w:pPr>
        <w:spacing w:after="120"/>
      </w:pPr>
    </w:p>
    <w:p>
      <w:pPr>
        <w:pStyle w:val="Heading2"/>
        <w:spacing w:after="120" w:before="280"/>
      </w:pPr>
      <w:r>
        <w:t xml:space="preserve">3.1  Revenue</w:t>
      </w:r>
    </w:p>
    <w:p>
      <w:pPr>
        <w:pStyle w:val="Heading3"/>
        <w:spacing w:after="100" w:before="220"/>
      </w:pPr>
      <w:r>
        <w:t xml:space="preserve">1.  Organic revenue</w:t>
      </w:r>
    </w:p>
    <w:p>
      <w:pPr>
        <w:spacing w:after="120"/>
      </w:pPr>
      <w:r>
        <w:rPr>
          <w:b w:val="false"/>
          <w:bCs w:val="false"/>
          <w:i w:val="false"/>
          <w:iCs w:val="false"/>
          <w:sz w:val="20"/>
          <w:szCs w:val="20"/>
        </w:rPr>
        <w:t xml:space="preserve">Revenue from the existing business, compounding off the last closed year.</w:t>
      </w:r>
    </w:p>
    <w:p>
      <w:pPr>
        <w:shd w:fill="F7F9FC" w:val="clear"/>
        <w:spacing w:after="40" w:before="40"/>
        <w:ind w:left="260"/>
      </w:pPr>
      <w:r>
        <w:rPr>
          <w:rFonts w:ascii="Consolas" w:cs="Consolas" w:eastAsia="Consolas" w:hAnsi="Consolas"/>
          <w:sz w:val="18"/>
          <w:szCs w:val="18"/>
        </w:rPr>
        <w:t xml:space="preserve">organic[0] = lastActualRevenue × (1 + growth[0])</w:t>
      </w:r>
    </w:p>
    <w:p>
      <w:pPr>
        <w:shd w:fill="F7F9FC" w:val="clear"/>
        <w:spacing w:after="40" w:before="40"/>
        <w:ind w:left="260"/>
      </w:pPr>
      <w:r>
        <w:rPr>
          <w:rFonts w:ascii="Consolas" w:cs="Consolas" w:eastAsia="Consolas" w:hAnsi="Consolas"/>
          <w:sz w:val="18"/>
          <w:szCs w:val="18"/>
        </w:rPr>
        <w:t xml:space="preserve">organic[t] = organic[t−1]  × (1 + growth[t])</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Last actual year revenue for the unit (step 4); growth % per unit / scenario / year (step 5).</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Last actual revenue 1,000,000; growth 10% every year. Year 1 = 1,000,000 × 1.10 = 1,100,000. Year 2 = 1,100,000 × 1.10 = 1,210,000. Year 3 = 1,331,000.</w:t>
            </w:r>
          </w:p>
        </w:tc>
      </w:tr>
    </w:tbl>
    <w:p>
      <w:pPr>
        <w:spacing w:after="60"/>
      </w:pPr>
    </w:p>
    <w:p>
      <w:pPr>
        <w:spacing w:after="120"/>
      </w:pPr>
      <w:r>
        <w:rPr>
          <w:b w:val="false"/>
          <w:bCs w:val="false"/>
          <w:i/>
          <w:iCs/>
          <w:sz w:val="19"/>
          <w:szCs w:val="19"/>
        </w:rPr>
        <w:t xml:space="preserve">Growth is applied per business unit. The group organic figure is the sum of the units — percentages are never averaged.</w:t>
      </w:r>
    </w:p>
    <w:p>
      <w:pPr>
        <w:spacing w:after="100"/>
      </w:pPr>
    </w:p>
    <w:p>
      <w:pPr>
        <w:pStyle w:val="Heading3"/>
        <w:spacing w:after="100" w:before="220"/>
      </w:pPr>
      <w:r>
        <w:t xml:space="preserve">2.  Initiative scaling (probability weighting)</w:t>
      </w:r>
    </w:p>
    <w:p>
      <w:pPr>
        <w:spacing w:after="120"/>
      </w:pPr>
      <w:r>
        <w:rPr>
          <w:b w:val="false"/>
          <w:bCs w:val="false"/>
          <w:i w:val="false"/>
          <w:iCs w:val="false"/>
          <w:sz w:val="20"/>
          <w:szCs w:val="20"/>
        </w:rPr>
        <w:t xml:space="preserve">Every figure on an initiative is scaled by its delivery probability, and forced to zero before its start year.</w:t>
      </w:r>
    </w:p>
    <w:p>
      <w:pPr>
        <w:shd w:fill="F7F9FC" w:val="clear"/>
        <w:spacing w:after="40" w:before="40"/>
        <w:ind w:left="260"/>
      </w:pPr>
      <w:r>
        <w:rPr>
          <w:rFonts w:ascii="Consolas" w:cs="Consolas" w:eastAsia="Consolas" w:hAnsi="Consolas"/>
          <w:sz w:val="18"/>
          <w:szCs w:val="18"/>
        </w:rPr>
        <w:t xml:space="preserve">factor  = (t ≥ startYearIndex) ? probability[effectiveScenario] : 0</w:t>
      </w:r>
    </w:p>
    <w:p>
      <w:pPr>
        <w:shd w:fill="F7F9FC" w:val="clear"/>
        <w:spacing w:after="40" w:before="40"/>
        <w:ind w:left="260"/>
      </w:pPr>
      <w:r>
        <w:rPr>
          <w:rFonts w:ascii="Consolas" w:cs="Consolas" w:eastAsia="Consolas" w:hAnsi="Consolas"/>
          <w:sz w:val="18"/>
          <w:szCs w:val="18"/>
        </w:rPr>
        <w:t xml:space="preserve">value[t] = enteredValue[t] × factor</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Initiative P&amp;L lines and probabilities (step 8); the scenario in force.</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An initiative with 42,000,000 of year-1 revenue at a Base-case probability of 80% contributes 42,000,000 × 0.80 = 33,600,000. If its start year is year 2, the year-1 contribution is 0 regardless.</w:t>
            </w:r>
          </w:p>
        </w:tc>
      </w:tr>
    </w:tbl>
    <w:p>
      <w:pPr>
        <w:spacing w:after="60"/>
      </w:pPr>
    </w:p>
    <w:p>
      <w:pPr>
        <w:spacing w:after="120"/>
      </w:pPr>
      <w:r>
        <w:rPr>
          <w:b w:val="false"/>
          <w:bCs w:val="false"/>
          <w:i/>
          <w:iCs/>
          <w:sz w:val="19"/>
          <w:szCs w:val="19"/>
        </w:rPr>
        <w:t xml:space="preserve">The effective scenario is chosen in this order: the initiative's own display scenario → the model-wide initiative scenario → the scenario being viewed.</w:t>
      </w:r>
    </w:p>
    <w:p>
      <w:pPr>
        <w:spacing w:after="100"/>
      </w:pPr>
    </w:p>
    <w:p>
      <w:pPr>
        <w:pStyle w:val="Heading3"/>
        <w:spacing w:after="100" w:before="220"/>
      </w:pPr>
      <w:r>
        <w:t xml:space="preserve">3.  Total revenue</w:t>
      </w:r>
    </w:p>
    <w:p>
      <w:pPr>
        <w:spacing w:after="120"/>
      </w:pPr>
      <w:r>
        <w:rPr>
          <w:b w:val="false"/>
          <w:bCs w:val="false"/>
          <w:i w:val="false"/>
          <w:iCs w:val="false"/>
          <w:sz w:val="20"/>
          <w:szCs w:val="20"/>
        </w:rPr>
        <w:t xml:space="preserve">Organic plus the probability-weighted initiative revenue. At group level, company-wide initiatives are added on top of the summed units.</w:t>
      </w:r>
    </w:p>
    <w:p>
      <w:pPr>
        <w:shd w:fill="F7F9FC" w:val="clear"/>
        <w:spacing w:after="40" w:before="40"/>
        <w:ind w:left="260"/>
      </w:pPr>
      <w:r>
        <w:rPr>
          <w:rFonts w:ascii="Consolas" w:cs="Consolas" w:eastAsia="Consolas" w:hAnsi="Consolas"/>
          <w:sz w:val="18"/>
          <w:szCs w:val="18"/>
        </w:rPr>
        <w:t xml:space="preserve">totalRevenue[t] = organic[t] + initiativeRevenue[t]  ( + groupWideInitiativeRevenue[t] )</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Formulas 1 and 2.</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Organic 1,100,000 plus probability-weighted initiative revenue of 300,000 gives total revenue of 1,400,000. This 1,400,000 is carried through the rest of the worked examples in this section.</w:t>
            </w:r>
          </w:p>
        </w:tc>
      </w:tr>
    </w:tbl>
    <w:p>
      <w:pPr>
        <w:spacing w:after="60"/>
      </w:pPr>
    </w:p>
    <w:p>
      <w:pPr>
        <w:spacing w:after="120"/>
      </w:pPr>
      <w:r>
        <w:rPr>
          <w:b w:val="false"/>
          <w:bCs w:val="false"/>
          <w:i/>
          <w:iCs/>
          <w:sz w:val="19"/>
          <w:szCs w:val="19"/>
        </w:rPr>
        <w:t xml:space="preserve">The income statement shows the two parts on separate lines — "Revenue — organic" and "Revenue — strategic initiatives" — above the "Total revenue" subtotal.</w:t>
      </w:r>
    </w:p>
    <w:p>
      <w:pPr>
        <w:spacing w:after="100"/>
      </w:pPr>
    </w:p>
    <w:p>
      <w:pPr>
        <w:pStyle w:val="Heading3"/>
        <w:spacing w:after="100" w:before="220"/>
      </w:pPr>
      <w:r>
        <w:t xml:space="preserve">4.  Revenue mix</w:t>
      </w:r>
    </w:p>
    <w:p>
      <w:pPr>
        <w:spacing w:after="120"/>
      </w:pPr>
      <w:r>
        <w:rPr>
          <w:b w:val="false"/>
          <w:bCs w:val="false"/>
          <w:i w:val="false"/>
          <w:iCs w:val="false"/>
          <w:sz w:val="20"/>
          <w:szCs w:val="20"/>
        </w:rPr>
        <w:t xml:space="preserve">Each unit's share of total revenue. Derived, never entered — it always sums to 100%.</w:t>
      </w:r>
    </w:p>
    <w:p>
      <w:pPr>
        <w:shd w:fill="F7F9FC" w:val="clear"/>
        <w:spacing w:after="40" w:before="40"/>
        <w:ind w:left="260"/>
      </w:pPr>
      <w:r>
        <w:rPr>
          <w:rFonts w:ascii="Consolas" w:cs="Consolas" w:eastAsia="Consolas" w:hAnsi="Consolas"/>
          <w:sz w:val="18"/>
          <w:szCs w:val="18"/>
        </w:rPr>
        <w:t xml:space="preserve">mix[unit][t] = unitRevenue[t] ÷ totalRevenue[t]</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Total revenue per unit (formula 3).</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Units of 600, 300 and 100 out of 1,000 give 60.0%, 30.0% and 10.0%. Company-wide initiatives get their own line so the column still totals 100%.</w:t>
            </w:r>
          </w:p>
        </w:tc>
      </w:tr>
    </w:tbl>
    <w:p>
      <w:pPr>
        <w:spacing w:after="60"/>
      </w:pPr>
    </w:p>
    <w:p>
      <w:pPr>
        <w:spacing w:after="120"/>
      </w:pPr>
      <w:r>
        <w:rPr>
          <w:b w:val="false"/>
          <w:bCs w:val="false"/>
          <w:i/>
          <w:iCs/>
          <w:sz w:val="19"/>
          <w:szCs w:val="19"/>
        </w:rPr>
        <w:t xml:space="preserve">When total revenue is zero, every share is reported as 0 rather than as a division error.</w:t>
      </w:r>
    </w:p>
    <w:p>
      <w:pPr>
        <w:spacing w:after="100"/>
      </w:pPr>
    </w:p>
    <w:p>
      <w:pPr>
        <w:pStyle w:val="Heading2"/>
        <w:spacing w:after="120" w:before="280"/>
      </w:pPr>
      <w:r>
        <w:t xml:space="preserve">3.2  Costs and EBITDA</w:t>
      </w:r>
    </w:p>
    <w:p>
      <w:pPr>
        <w:pStyle w:val="Heading3"/>
        <w:spacing w:after="100" w:before="220"/>
      </w:pPr>
      <w:r>
        <w:t xml:space="preserve">5.  Cost of sales</w:t>
      </w:r>
    </w:p>
    <w:p>
      <w:pPr>
        <w:spacing w:after="120"/>
      </w:pPr>
      <w:r>
        <w:rPr>
          <w:b w:val="false"/>
          <w:bCs w:val="false"/>
          <w:i w:val="false"/>
          <w:iCs w:val="false"/>
          <w:sz w:val="20"/>
          <w:szCs w:val="20"/>
        </w:rPr>
        <w:t xml:space="preserve">A percentage of ORGANIC revenue only, plus the initiative cost of sales entered directly. Shown negative.</w:t>
      </w:r>
    </w:p>
    <w:p>
      <w:pPr>
        <w:shd w:fill="F7F9FC" w:val="clear"/>
        <w:spacing w:after="40" w:before="40"/>
        <w:ind w:left="260"/>
      </w:pPr>
      <w:r>
        <w:rPr>
          <w:rFonts w:ascii="Consolas" w:cs="Consolas" w:eastAsia="Consolas" w:hAnsi="Consolas"/>
          <w:sz w:val="18"/>
          <w:szCs w:val="18"/>
        </w:rPr>
        <w:t xml:space="preserve">costOfSales[t] = −( organic[t] × cogsPct[t] ) − initiativeCogs[t]</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Cost of sales % (step 6); organic revenue (formula 1); initiative cost of sales (step 8, probability-weighted).</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Organic 1,100,000 at 60% = 660,000. Plus initiative cost of sales of 40,000. Cost of sales = −700,000.</w:t>
            </w:r>
          </w:p>
        </w:tc>
      </w:tr>
    </w:tbl>
    <w:p>
      <w:pPr>
        <w:spacing w:after="60"/>
      </w:pPr>
    </w:p>
    <w:p>
      <w:pPr>
        <w:spacing w:after="120"/>
      </w:pPr>
      <w:r>
        <w:rPr>
          <w:b w:val="false"/>
          <w:bCs w:val="false"/>
          <w:i/>
          <w:iCs/>
          <w:sz w:val="19"/>
          <w:szCs w:val="19"/>
        </w:rPr>
        <w:t xml:space="preserve">The percentage deliberately does NOT apply to initiative revenue — an initiative carries its own margin.</w:t>
      </w:r>
    </w:p>
    <w:p>
      <w:pPr>
        <w:spacing w:after="100"/>
      </w:pPr>
    </w:p>
    <w:p>
      <w:pPr>
        <w:pStyle w:val="Heading3"/>
        <w:spacing w:after="100" w:before="220"/>
      </w:pPr>
      <w:r>
        <w:t xml:space="preserve">6.  Gross profit</w:t>
      </w:r>
    </w:p>
    <w:p>
      <w:pPr>
        <w:spacing w:after="120"/>
      </w:pPr>
      <w:r>
        <w:rPr>
          <w:b w:val="false"/>
          <w:bCs w:val="false"/>
          <w:i w:val="false"/>
          <w:iCs w:val="false"/>
          <w:sz w:val="20"/>
          <w:szCs w:val="20"/>
        </w:rPr>
        <w:t xml:space="preserve">What is left after the cost of the goods sold.</w:t>
      </w:r>
    </w:p>
    <w:p>
      <w:pPr>
        <w:shd w:fill="F7F9FC" w:val="clear"/>
        <w:spacing w:after="40" w:before="40"/>
        <w:ind w:left="260"/>
      </w:pPr>
      <w:r>
        <w:rPr>
          <w:rFonts w:ascii="Consolas" w:cs="Consolas" w:eastAsia="Consolas" w:hAnsi="Consolas"/>
          <w:sz w:val="18"/>
          <w:szCs w:val="18"/>
        </w:rPr>
        <w:t xml:space="preserve">grossProfit[t] = totalRevenue[t] + costOfSales[t]      (cost of sales is already negative)</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Formulas 3 and 5.</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Total revenue 1,400,000 − cost of sales 700,000 = gross profit 700,000. Gross margin = 50.0%.</w:t>
            </w:r>
          </w:p>
        </w:tc>
      </w:tr>
    </w:tbl>
    <w:p>
      <w:pPr>
        <w:spacing w:after="100"/>
      </w:pPr>
    </w:p>
    <w:p>
      <w:pPr>
        <w:pStyle w:val="Heading3"/>
        <w:spacing w:after="100" w:before="220"/>
      </w:pPr>
      <w:r>
        <w:t xml:space="preserve">7.  Inflation index</w:t>
      </w:r>
    </w:p>
    <w:p>
      <w:pPr>
        <w:spacing w:after="120"/>
      </w:pPr>
      <w:r>
        <w:rPr>
          <w:b w:val="false"/>
          <w:bCs w:val="false"/>
          <w:i w:val="false"/>
          <w:iCs w:val="false"/>
          <w:sz w:val="20"/>
          <w:szCs w:val="20"/>
        </w:rPr>
        <w:t xml:space="preserve">The cumulative escalation applied to fixed operating costs.</w:t>
      </w:r>
    </w:p>
    <w:p>
      <w:pPr>
        <w:shd w:fill="F7F9FC" w:val="clear"/>
        <w:spacing w:after="40" w:before="40"/>
        <w:ind w:left="260"/>
      </w:pPr>
      <w:r>
        <w:rPr>
          <w:rFonts w:ascii="Consolas" w:cs="Consolas" w:eastAsia="Consolas" w:hAnsi="Consolas"/>
          <w:sz w:val="18"/>
          <w:szCs w:val="18"/>
        </w:rPr>
        <w:t xml:space="preserve">index[0] = 1 × (1 + inflation[0])</w:t>
      </w:r>
    </w:p>
    <w:p>
      <w:pPr>
        <w:shd w:fill="F7F9FC" w:val="clear"/>
        <w:spacing w:after="40" w:before="40"/>
        <w:ind w:left="260"/>
      </w:pPr>
      <w:r>
        <w:rPr>
          <w:rFonts w:ascii="Consolas" w:cs="Consolas" w:eastAsia="Consolas" w:hAnsi="Consolas"/>
          <w:sz w:val="18"/>
          <w:szCs w:val="18"/>
        </w:rPr>
        <w:t xml:space="preserve">index[t] = index[t−1] × (1 + inflation[t])</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Inflation % per forecast year (step 2).</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At 2% every year: index = 1.0200, 1.0404, 1.0612, 1.0824, 1.1041.</w:t>
            </w:r>
          </w:p>
        </w:tc>
      </w:tr>
    </w:tbl>
    <w:p>
      <w:pPr>
        <w:spacing w:after="60"/>
      </w:pPr>
    </w:p>
    <w:p>
      <w:pPr>
        <w:spacing w:after="120"/>
      </w:pPr>
      <w:r>
        <w:rPr>
          <w:b w:val="false"/>
          <w:bCs w:val="false"/>
          <w:i/>
          <w:iCs/>
          <w:sz w:val="19"/>
          <w:szCs w:val="19"/>
        </w:rPr>
        <w:t xml:space="preserve">Note that year 1 is already inflated once (the index starts at 1 and is multiplied by year 1's rate before year 1 is used). Confirm this is intended — see U3.</w:t>
      </w:r>
    </w:p>
    <w:p>
      <w:pPr>
        <w:spacing w:after="100"/>
      </w:pPr>
    </w:p>
    <w:p>
      <w:pPr>
        <w:pStyle w:val="Heading3"/>
        <w:spacing w:after="100" w:before="220"/>
      </w:pPr>
      <w:r>
        <w:t xml:space="preserve">8.  Selling &amp; distribution, and General &amp; administrative</w:t>
      </w:r>
    </w:p>
    <w:p>
      <w:pPr>
        <w:spacing w:after="120"/>
      </w:pPr>
      <w:r>
        <w:rPr>
          <w:b w:val="false"/>
          <w:bCs w:val="false"/>
          <w:i w:val="false"/>
          <w:iCs w:val="false"/>
          <w:sz w:val="20"/>
          <w:szCs w:val="20"/>
        </w:rPr>
        <w:t xml:space="preserve">Each is a variable percentage of organic revenue plus a fixed amount that escalates with inflation. This split is what creates operating leverage.</w:t>
      </w:r>
    </w:p>
    <w:p>
      <w:pPr>
        <w:shd w:fill="F7F9FC" w:val="clear"/>
        <w:spacing w:after="40" w:before="40"/>
        <w:ind w:left="260"/>
      </w:pPr>
      <w:r>
        <w:rPr>
          <w:rFonts w:ascii="Consolas" w:cs="Consolas" w:eastAsia="Consolas" w:hAnsi="Consolas"/>
          <w:sz w:val="18"/>
          <w:szCs w:val="18"/>
        </w:rPr>
        <w:t xml:space="preserve">sd[t] = −( organic[t] × sdPct[t] ) − ( sdFixed[t] × inflationIndex[t] )</w:t>
      </w:r>
    </w:p>
    <w:p>
      <w:pPr>
        <w:shd w:fill="F7F9FC" w:val="clear"/>
        <w:spacing w:after="40" w:before="40"/>
        <w:ind w:left="260"/>
      </w:pPr>
      <w:r>
        <w:rPr>
          <w:rFonts w:ascii="Consolas" w:cs="Consolas" w:eastAsia="Consolas" w:hAnsi="Consolas"/>
          <w:sz w:val="18"/>
          <w:szCs w:val="18"/>
        </w:rPr>
        <w:t xml:space="preserve">ga[t] = −( organic[t] × gaPct[t] ) − ( gaFixed[t] × inflationIndex[t] )</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Variable % and fixed amount per unit / scenario / year (step 6); organic revenue; inflation index.</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Organic 1,100,000; S&amp;D 5% variable and 50,000 fixed; inflation 2% (index 1.02). S&amp;D = −(1,100,000 × 0.05) − (50,000 × 1.02) = −55,000 − 51,000 = −106,000.</w:t>
            </w:r>
          </w:p>
        </w:tc>
      </w:tr>
    </w:tbl>
    <w:p>
      <w:pPr>
        <w:spacing w:after="100"/>
      </w:pPr>
    </w:p>
    <w:p>
      <w:pPr>
        <w:pStyle w:val="Heading3"/>
        <w:spacing w:after="100" w:before="220"/>
      </w:pPr>
      <w:r>
        <w:t xml:space="preserve">9.  Provision charge</w:t>
      </w:r>
    </w:p>
    <w:p>
      <w:pPr>
        <w:spacing w:after="120"/>
      </w:pPr>
      <w:r>
        <w:rPr>
          <w:b w:val="false"/>
          <w:bCs w:val="false"/>
          <w:i w:val="false"/>
          <w:iCs w:val="false"/>
          <w:sz w:val="20"/>
          <w:szCs w:val="20"/>
        </w:rPr>
        <w:t xml:space="preserve">Each accruing provision charges an amount to operating expenses every year.</w:t>
      </w:r>
    </w:p>
    <w:p>
      <w:pPr>
        <w:shd w:fill="F7F9FC" w:val="clear"/>
        <w:spacing w:after="40" w:before="40"/>
        <w:ind w:left="260"/>
      </w:pPr>
      <w:r>
        <w:rPr>
          <w:rFonts w:ascii="Consolas" w:cs="Consolas" w:eastAsia="Consolas" w:hAnsi="Consolas"/>
          <w:sz w:val="18"/>
          <w:szCs w:val="18"/>
        </w:rPr>
        <w:t xml:space="preserve">charge[t] = fixedAmount + ( driver × ratePct )</w:t>
      </w:r>
    </w:p>
    <w:p>
      <w:pPr>
        <w:shd w:fill="F7F9FC" w:val="clear"/>
        <w:spacing w:after="40" w:before="40"/>
        <w:ind w:left="260"/>
      </w:pPr>
      <w:r>
        <w:rPr>
          <w:rFonts w:ascii="Consolas" w:cs="Consolas" w:eastAsia="Consolas" w:hAnsi="Consolas"/>
          <w:sz w:val="18"/>
          <w:szCs w:val="18"/>
        </w:rPr>
        <w:t xml:space="preserve">driver = revenue          when basis = "% of revenue"</w:t>
      </w:r>
    </w:p>
    <w:p>
      <w:pPr>
        <w:shd w:fill="F7F9FC" w:val="clear"/>
        <w:spacing w:after="40" w:before="40"/>
        <w:ind w:left="260"/>
      </w:pPr>
      <w:r>
        <w:rPr>
          <w:rFonts w:ascii="Consolas" w:cs="Consolas" w:eastAsia="Consolas" w:hAnsi="Consolas"/>
          <w:sz w:val="18"/>
          <w:szCs w:val="18"/>
        </w:rPr>
        <w:t xml:space="preserve">       = max(0, EBITDA − depreciation)   when basis = "% of net profit"</w:t>
      </w:r>
    </w:p>
    <w:p>
      <w:pPr>
        <w:shd w:fill="F7F9FC" w:val="clear"/>
        <w:spacing w:after="40" w:before="40"/>
        <w:ind w:left="260"/>
      </w:pPr>
      <w:r>
        <w:rPr>
          <w:rFonts w:ascii="Consolas" w:cs="Consolas" w:eastAsia="Consolas" w:hAnsi="Consolas"/>
          <w:sz w:val="18"/>
          <w:szCs w:val="18"/>
        </w:rPr>
        <w:t xml:space="preserve">       = |General &amp; administrative|      when basis = "% of payroll"</w:t>
      </w:r>
    </w:p>
    <w:p>
      <w:pPr>
        <w:shd w:fill="F7F9FC" w:val="clear"/>
        <w:spacing w:after="40" w:before="40"/>
        <w:ind w:left="260"/>
      </w:pPr>
      <w:r>
        <w:rPr>
          <w:rFonts w:ascii="Consolas" w:cs="Consolas" w:eastAsia="Consolas" w:hAnsi="Consolas"/>
          <w:sz w:val="18"/>
          <w:szCs w:val="18"/>
        </w:rPr>
        <w:t xml:space="preserve">       = 0                               when basis = "Fixed"</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Provision rows (step 7 panel B).</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End-of-service benefits at 8.5% of payroll, where G&amp;A for the year is 20,000,000 → charge = 20,000,000 × 0.085 = 1,700,000.</w:t>
            </w:r>
          </w:p>
        </w:tc>
      </w:tr>
    </w:tbl>
    <w:p>
      <w:pPr>
        <w:spacing w:after="60"/>
      </w:pPr>
    </w:p>
    <w:p>
      <w:pPr>
        <w:spacing w:after="120"/>
      </w:pPr>
      <w:r>
        <w:rPr>
          <w:b w:val="false"/>
          <w:bCs w:val="false"/>
          <w:i/>
          <w:iCs/>
          <w:sz w:val="19"/>
          <w:szCs w:val="19"/>
        </w:rPr>
        <w:t xml:space="preserve">A fixed amount and a rate can both apply to the same provision; they are added. Provisions with kind = "Dividend" are excluded here.</w:t>
      </w:r>
    </w:p>
    <w:p>
      <w:pPr>
        <w:spacing w:after="100"/>
      </w:pPr>
    </w:p>
    <w:p>
      <w:pPr>
        <w:pStyle w:val="Heading3"/>
        <w:spacing w:after="100" w:before="220"/>
      </w:pPr>
      <w:r>
        <w:t xml:space="preserve">10.  Total operating expenses and EBITDA</w:t>
      </w:r>
    </w:p>
    <w:p>
      <w:pPr>
        <w:spacing w:after="120"/>
      </w:pPr>
      <w:r>
        <w:rPr>
          <w:b w:val="false"/>
          <w:bCs w:val="false"/>
          <w:i w:val="false"/>
          <w:iCs w:val="false"/>
          <w:sz w:val="20"/>
          <w:szCs w:val="20"/>
        </w:rPr>
        <w:t xml:space="preserve">Operating expenses gather S&amp;D, G&amp;A, the initiative operating effect and the provision charge. EBITDA is gross profit less all of that.</w:t>
      </w:r>
    </w:p>
    <w:p>
      <w:pPr>
        <w:shd w:fill="F7F9FC" w:val="clear"/>
        <w:spacing w:after="40" w:before="40"/>
        <w:ind w:left="260"/>
      </w:pPr>
      <w:r>
        <w:rPr>
          <w:rFonts w:ascii="Consolas" w:cs="Consolas" w:eastAsia="Consolas" w:hAnsi="Consolas"/>
          <w:sz w:val="18"/>
          <w:szCs w:val="18"/>
        </w:rPr>
        <w:t xml:space="preserve">totalOpex[t] = sd[t] + ga[t] − initiativeOpexAdd[t] + initiativeOpexSaving[t] − provisionCharge[t]</w:t>
      </w:r>
    </w:p>
    <w:p>
      <w:pPr>
        <w:shd w:fill="F7F9FC" w:val="clear"/>
        <w:spacing w:after="40" w:before="40"/>
        <w:ind w:left="260"/>
      </w:pPr>
      <w:r>
        <w:rPr>
          <w:rFonts w:ascii="Consolas" w:cs="Consolas" w:eastAsia="Consolas" w:hAnsi="Consolas"/>
          <w:sz w:val="18"/>
          <w:szCs w:val="18"/>
        </w:rPr>
        <w:t xml:space="preserve">EBITDA[t]    = grossProfit[t] + totalOpex[t]        (opex is already negative)</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Formulas 6, 8, 9 and the initiative lines from step 8.</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Gross profit 700,000; S&amp;D −106,000; G&amp;A −40,000; initiative extra cost −20,000; initiative saving +5,000; provisions −9,000. Total opex = −170,000. EBITDA = 700,000 − 170,000 = 530,000.</w:t>
            </w:r>
          </w:p>
        </w:tc>
      </w:tr>
    </w:tbl>
    <w:p>
      <w:pPr>
        <w:spacing w:after="60"/>
      </w:pPr>
    </w:p>
    <w:p>
      <w:pPr>
        <w:spacing w:after="120"/>
      </w:pPr>
      <w:r>
        <w:rPr>
          <w:b w:val="false"/>
          <w:bCs w:val="false"/>
          <w:i/>
          <w:iCs/>
          <w:sz w:val="19"/>
          <w:szCs w:val="19"/>
        </w:rPr>
        <w:t xml:space="preserve">An "operating cost removed" on an initiative is a POSITIVE contribution — it reduces the cost base.</w:t>
      </w:r>
    </w:p>
    <w:p>
      <w:pPr>
        <w:spacing w:after="100"/>
      </w:pPr>
    </w:p>
    <w:p>
      <w:pPr>
        <w:pStyle w:val="Heading2"/>
        <w:spacing w:after="120" w:before="280"/>
      </w:pPr>
      <w:r>
        <w:t xml:space="preserve">3.3  Depreciation and capital expenditure</w:t>
      </w:r>
    </w:p>
    <w:p>
      <w:pPr>
        <w:pStyle w:val="Heading3"/>
        <w:spacing w:after="100" w:before="220"/>
      </w:pPr>
      <w:r>
        <w:t xml:space="preserve">11.  Depreciation — existing assets</w:t>
      </w:r>
    </w:p>
    <w:p>
      <w:pPr>
        <w:spacing w:after="120"/>
      </w:pPr>
      <w:r>
        <w:rPr>
          <w:b w:val="false"/>
          <w:bCs w:val="false"/>
          <w:i w:val="false"/>
          <w:iCs w:val="false"/>
          <w:sz w:val="20"/>
          <w:szCs w:val="20"/>
        </w:rPr>
        <w:t xml:space="preserve">The opening net book value written off in equal instalments over the remaining life, stopping when fully written down.</w:t>
      </w:r>
    </w:p>
    <w:p>
      <w:pPr>
        <w:shd w:fill="F7F9FC" w:val="clear"/>
        <w:spacing w:after="40" w:before="40"/>
        <w:ind w:left="260"/>
      </w:pPr>
      <w:r>
        <w:rPr>
          <w:rFonts w:ascii="Consolas" w:cs="Consolas" w:eastAsia="Consolas" w:hAnsi="Consolas"/>
          <w:sz w:val="18"/>
          <w:szCs w:val="18"/>
        </w:rPr>
        <w:t xml:space="preserve">annualCharge = openingNetPPE ÷ remainingUsefulLife</w:t>
      </w:r>
    </w:p>
    <w:p>
      <w:pPr>
        <w:shd w:fill="F7F9FC" w:val="clear"/>
        <w:spacing w:after="40" w:before="40"/>
        <w:ind w:left="260"/>
      </w:pPr>
      <w:r>
        <w:rPr>
          <w:rFonts w:ascii="Consolas" w:cs="Consolas" w:eastAsia="Consolas" w:hAnsi="Consolas"/>
          <w:sz w:val="18"/>
          <w:szCs w:val="18"/>
        </w:rPr>
        <w:t xml:space="preserve">charge[t]    = max( 0, min( annualCharge, netBookValueRemaining ) )</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Opening PP&amp;E cost less accumulated depreciation (step 10); remaining life for existing assets (step 2).</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Opening net PP&amp;E 500,000 over a 10-year remaining life = 50,000 a year, for ten years, then nil. If the remaining life were 4 years: 125,000 a year for four years, then nil.</w:t>
            </w:r>
          </w:p>
        </w:tc>
      </w:tr>
    </w:tbl>
    <w:p>
      <w:pPr>
        <w:spacing w:after="60"/>
      </w:pPr>
    </w:p>
    <w:p>
      <w:pPr>
        <w:spacing w:after="120"/>
      </w:pPr>
      <w:r>
        <w:rPr>
          <w:b w:val="false"/>
          <w:bCs w:val="false"/>
          <w:i/>
          <w:iCs/>
          <w:sz w:val="19"/>
          <w:szCs w:val="19"/>
        </w:rPr>
        <w:t xml:space="preserve">A remaining life of 0 produces no charge at all rather than a division error.</w:t>
      </w:r>
    </w:p>
    <w:p>
      <w:pPr>
        <w:spacing w:after="100"/>
      </w:pPr>
    </w:p>
    <w:p>
      <w:pPr>
        <w:pStyle w:val="Heading3"/>
        <w:spacing w:after="100" w:before="220"/>
      </w:pPr>
      <w:r>
        <w:t xml:space="preserve">12.  Depreciation — unclassified (maintenance) capex</w:t>
      </w:r>
    </w:p>
    <w:p>
      <w:pPr>
        <w:spacing w:after="120"/>
      </w:pPr>
      <w:r>
        <w:rPr>
          <w:b w:val="false"/>
          <w:bCs w:val="false"/>
          <w:i w:val="false"/>
          <w:iCs w:val="false"/>
          <w:sz w:val="20"/>
          <w:szCs w:val="20"/>
        </w:rPr>
        <w:t xml:space="preserve">Capex entered as a plain annual figure, straight-lined over the model default life, with a first-year convention.</w:t>
      </w:r>
    </w:p>
    <w:p>
      <w:pPr>
        <w:shd w:fill="F7F9FC" w:val="clear"/>
        <w:spacing w:after="40" w:before="40"/>
        <w:ind w:left="260"/>
      </w:pPr>
      <w:r>
        <w:rPr>
          <w:rFonts w:ascii="Consolas" w:cs="Consolas" w:eastAsia="Consolas" w:hAnsi="Consolas"/>
          <w:sz w:val="18"/>
          <w:szCs w:val="18"/>
        </w:rPr>
        <w:t xml:space="preserve">perYear   = capex[v] ÷ usefulLifeNew</w:t>
      </w:r>
    </w:p>
    <w:p>
      <w:pPr>
        <w:shd w:fill="F7F9FC" w:val="clear"/>
        <w:spacing w:after="40" w:before="40"/>
        <w:ind w:left="260"/>
      </w:pPr>
      <w:r>
        <w:rPr>
          <w:rFonts w:ascii="Consolas" w:cs="Consolas" w:eastAsia="Consolas" w:hAnsi="Consolas"/>
          <w:sz w:val="18"/>
          <w:szCs w:val="18"/>
        </w:rPr>
        <w:t xml:space="preserve">charge[t] = min( perYear × (t = v ? firstYearFactor : 1), amount not yet written off )</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Maintenance capex per year (step 9); useful life for unclassified capex and first-year convention (step 2).</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Capex of 150,000 in year 1, 15-year life, half-year convention. Full year = 10,000. Year 1 charge = 5,000; years 2 onward = 10,000 until the 150,000 is fully written off.</w:t>
            </w:r>
          </w:p>
        </w:tc>
      </w:tr>
    </w:tbl>
    <w:p>
      <w:pPr>
        <w:spacing w:after="100"/>
      </w:pPr>
    </w:p>
    <w:p>
      <w:pPr>
        <w:pStyle w:val="Heading3"/>
        <w:spacing w:after="100" w:before="220"/>
      </w:pPr>
      <w:r>
        <w:t xml:space="preserve">13.  Depreciation — a registered asset</w:t>
      </w:r>
    </w:p>
    <w:p>
      <w:pPr>
        <w:spacing w:after="120"/>
      </w:pPr>
      <w:r>
        <w:rPr>
          <w:b w:val="false"/>
          <w:bCs w:val="false"/>
          <w:i w:val="false"/>
          <w:iCs w:val="false"/>
          <w:sz w:val="20"/>
          <w:szCs w:val="20"/>
        </w:rPr>
        <w:t xml:space="preserve">Each itemised asset depreciates on its own rate, applied to cost less residual value, capped so it can never fall below residual.</w:t>
      </w:r>
    </w:p>
    <w:p>
      <w:pPr>
        <w:shd w:fill="F7F9FC" w:val="clear"/>
        <w:spacing w:after="40" w:before="40"/>
        <w:ind w:left="260"/>
      </w:pPr>
      <w:r>
        <w:rPr>
          <w:rFonts w:ascii="Consolas" w:cs="Consolas" w:eastAsia="Consolas" w:hAnsi="Consolas"/>
          <w:sz w:val="18"/>
          <w:szCs w:val="18"/>
        </w:rPr>
        <w:t xml:space="preserve">rate      = explicit rate,  or 1 ÷ usefulLife</w:t>
      </w:r>
    </w:p>
    <w:p>
      <w:pPr>
        <w:shd w:fill="F7F9FC" w:val="clear"/>
        <w:spacing w:after="40" w:before="40"/>
        <w:ind w:left="260"/>
      </w:pPr>
      <w:r>
        <w:rPr>
          <w:rFonts w:ascii="Consolas" w:cs="Consolas" w:eastAsia="Consolas" w:hAnsi="Consolas"/>
          <w:sz w:val="18"/>
          <w:szCs w:val="18"/>
        </w:rPr>
        <w:t xml:space="preserve">base      = amount × (1 − residualPct)</w:t>
      </w:r>
    </w:p>
    <w:p>
      <w:pPr>
        <w:shd w:fill="F7F9FC" w:val="clear"/>
        <w:spacing w:after="40" w:before="40"/>
        <w:ind w:left="260"/>
      </w:pPr>
      <w:r>
        <w:rPr>
          <w:rFonts w:ascii="Consolas" w:cs="Consolas" w:eastAsia="Consolas" w:hAnsi="Consolas"/>
          <w:sz w:val="18"/>
          <w:szCs w:val="18"/>
        </w:rPr>
        <w:t xml:space="preserve">charge[t] = min( base × rate × (t = purchasePeriod ? firstYearFactor : 1), remaining )</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Asset register rows (step 9); first-year convention (step 2).</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120,000 machine, 10-year life (rate 10%), no residual, bought in year 1, half-year convention. Base 120,000; full-year charge 12,000. Year 1 = 6,000; years 2–10 = 12,000; year 11 = 6,000. Total 120,000.</w:t>
            </w:r>
          </w:p>
        </w:tc>
      </w:tr>
    </w:tbl>
    <w:p>
      <w:pPr>
        <w:spacing w:after="60"/>
      </w:pPr>
    </w:p>
    <w:p>
      <w:pPr>
        <w:spacing w:after="120"/>
      </w:pPr>
      <w:r>
        <w:rPr>
          <w:b w:val="false"/>
          <w:bCs w:val="false"/>
          <w:i/>
          <w:iCs/>
          <w:sz w:val="19"/>
          <w:szCs w:val="19"/>
        </w:rPr>
        <w:t xml:space="preserve">With a 10% residual the base becomes 108,000 and the full-year charge 10,800; the asset stops at a net book value of 12,000.</w:t>
      </w:r>
    </w:p>
    <w:p>
      <w:pPr>
        <w:spacing w:after="100"/>
      </w:pPr>
    </w:p>
    <w:p>
      <w:pPr>
        <w:pStyle w:val="Heading3"/>
        <w:spacing w:after="100" w:before="220"/>
      </w:pPr>
      <w:r>
        <w:t xml:space="preserve">14.  Initiative capex capitalisation</w:t>
      </w:r>
    </w:p>
    <w:p>
      <w:pPr>
        <w:spacing w:after="120"/>
      </w:pPr>
      <w:r>
        <w:rPr>
          <w:b w:val="false"/>
          <w:bCs w:val="false"/>
          <w:i w:val="false"/>
          <w:iCs w:val="false"/>
          <w:sz w:val="20"/>
          <w:szCs w:val="20"/>
        </w:rPr>
        <w:t xml:space="preserve">Capital spend on an initiative buys an asset — it is never an expense. Each YEAR of initiative capex becomes its own addition, depreciating from the year it was incurred.</w:t>
      </w:r>
    </w:p>
    <w:p>
      <w:pPr>
        <w:shd w:fill="F7F9FC" w:val="clear"/>
        <w:spacing w:after="40" w:before="40"/>
        <w:ind w:left="260"/>
      </w:pPr>
      <w:r>
        <w:rPr>
          <w:rFonts w:ascii="Consolas" w:cs="Consolas" w:eastAsia="Consolas" w:hAnsi="Consolas"/>
          <w:sz w:val="18"/>
          <w:szCs w:val="18"/>
        </w:rPr>
        <w:t xml:space="preserve">rate = 1 ÷ (initiative capex life, or the class default)</w:t>
      </w:r>
    </w:p>
    <w:p>
      <w:pPr>
        <w:shd w:fill="F7F9FC" w:val="clear"/>
        <w:spacing w:after="40" w:before="40"/>
        <w:ind w:left="260"/>
      </w:pPr>
      <w:r>
        <w:rPr>
          <w:rFonts w:ascii="Consolas" w:cs="Consolas" w:eastAsia="Consolas" w:hAnsi="Consolas"/>
          <w:sz w:val="18"/>
          <w:szCs w:val="18"/>
        </w:rPr>
        <w:t xml:space="preserve">then treated exactly as formula 13</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Initiative capex per year, capex class and life (step 8).</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five-year programme spending 14m, 4m, 2m, 1.5m, 1.5m produces five separate additions, each depreciating from its own year.</w:t>
            </w:r>
          </w:p>
        </w:tc>
      </w:tr>
    </w:tbl>
    <w:p>
      <w:pPr>
        <w:spacing w:after="60"/>
      </w:pPr>
    </w:p>
    <w:p>
      <w:pPr>
        <w:spacing w:after="120"/>
      </w:pPr>
      <w:r>
        <w:rPr>
          <w:b w:val="false"/>
          <w:bCs w:val="false"/>
          <w:i/>
          <w:iCs/>
          <w:sz w:val="19"/>
          <w:szCs w:val="19"/>
        </w:rPr>
        <w:t xml:space="preserve">IMPORTANT: if the same initiative has any itemised asset in the step-9 register, this whole calculation is SKIPPED for that initiative and the register is used instead — the spend is never capitalised twice.</w:t>
      </w:r>
    </w:p>
    <w:p>
      <w:pPr>
        <w:spacing w:after="100"/>
      </w:pPr>
    </w:p>
    <w:p>
      <w:pPr>
        <w:pStyle w:val="Heading3"/>
        <w:spacing w:after="100" w:before="220"/>
      </w:pPr>
      <w:r>
        <w:t xml:space="preserve">15.  Total capital expenditure and net PP&amp;E</w:t>
      </w:r>
    </w:p>
    <w:p>
      <w:pPr>
        <w:spacing w:after="120"/>
      </w:pPr>
      <w:r>
        <w:rPr>
          <w:b w:val="false"/>
          <w:bCs w:val="false"/>
          <w:i w:val="false"/>
          <w:iCs w:val="false"/>
          <w:sz w:val="20"/>
          <w:szCs w:val="20"/>
        </w:rPr>
        <w:t xml:space="preserve">The capex that actually leaves the bank, and the asset base it builds.</w:t>
      </w:r>
    </w:p>
    <w:p>
      <w:pPr>
        <w:shd w:fill="F7F9FC" w:val="clear"/>
        <w:spacing w:after="40" w:before="40"/>
        <w:ind w:left="260"/>
      </w:pPr>
      <w:r>
        <w:rPr>
          <w:rFonts w:ascii="Consolas" w:cs="Consolas" w:eastAsia="Consolas" w:hAnsi="Consolas"/>
          <w:sz w:val="18"/>
          <w:szCs w:val="18"/>
        </w:rPr>
        <w:t xml:space="preserve">capexPlan[t] = maintenanceCapex[t] + registeredAssetAdditions[t]</w:t>
      </w:r>
    </w:p>
    <w:p>
      <w:pPr>
        <w:shd w:fill="F7F9FC" w:val="clear"/>
        <w:spacing w:after="40" w:before="40"/>
        <w:ind w:left="260"/>
      </w:pPr>
      <w:r>
        <w:rPr>
          <w:rFonts w:ascii="Consolas" w:cs="Consolas" w:eastAsia="Consolas" w:hAnsi="Consolas"/>
          <w:sz w:val="18"/>
          <w:szCs w:val="18"/>
        </w:rPr>
        <w:t xml:space="preserve">netPPE[t]    = netPPE[t−1] + capexPlan[t] − totalDepreciation[t]</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Formulas 11–14; maintenance capex (step 9); opening net PP&amp;E (step 10).</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Opening net PP&amp;E 500,000; capex 150,000; depreciation 56,000. Closing net PP&amp;E = 594,000.</w:t>
            </w:r>
          </w:p>
        </w:tc>
      </w:tr>
    </w:tbl>
    <w:p>
      <w:pPr>
        <w:spacing w:after="60"/>
      </w:pPr>
    </w:p>
    <w:p>
      <w:pPr>
        <w:spacing w:after="120"/>
      </w:pPr>
      <w:r>
        <w:rPr>
          <w:b w:val="false"/>
          <w:bCs w:val="false"/>
          <w:i/>
          <w:iCs/>
          <w:sz w:val="19"/>
          <w:szCs w:val="19"/>
        </w:rPr>
        <w:t xml:space="preserve">Initiative capex is included through the registered-asset stream, not added separately — adding it twice is exactly the error the reconciliation panel on step 9 exists to prevent.</w:t>
      </w:r>
    </w:p>
    <w:p>
      <w:pPr>
        <w:spacing w:after="100"/>
      </w:pPr>
    </w:p>
    <w:p>
      <w:pPr>
        <w:pStyle w:val="Heading3"/>
        <w:spacing w:after="100" w:before="220"/>
      </w:pPr>
      <w:r>
        <w:t xml:space="preserve">16.  EBIT</w:t>
      </w:r>
    </w:p>
    <w:p>
      <w:pPr>
        <w:spacing w:after="120"/>
      </w:pPr>
      <w:r>
        <w:rPr>
          <w:b w:val="false"/>
          <w:bCs w:val="false"/>
          <w:i w:val="false"/>
          <w:iCs w:val="false"/>
          <w:sz w:val="20"/>
          <w:szCs w:val="20"/>
        </w:rPr>
        <w:t xml:space="preserve">Operating profit after the cost of using the assets.</w:t>
      </w:r>
    </w:p>
    <w:p>
      <w:pPr>
        <w:shd w:fill="F7F9FC" w:val="clear"/>
        <w:spacing w:after="40" w:before="40"/>
        <w:ind w:left="260"/>
      </w:pPr>
      <w:r>
        <w:rPr>
          <w:rFonts w:ascii="Consolas" w:cs="Consolas" w:eastAsia="Consolas" w:hAnsi="Consolas"/>
          <w:sz w:val="18"/>
          <w:szCs w:val="18"/>
        </w:rPr>
        <w:t xml:space="preserve">EBIT[t] = EBITDA[t] − totalDepreciation[t]</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Formulas 10 and 11–14.</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EBITDA 530,000 − depreciation 56,000 = EBIT 474,000.</w:t>
            </w:r>
          </w:p>
        </w:tc>
      </w:tr>
    </w:tbl>
    <w:p>
      <w:pPr>
        <w:spacing w:after="100"/>
      </w:pPr>
    </w:p>
    <w:p>
      <w:pPr>
        <w:pStyle w:val="Heading2"/>
        <w:spacing w:after="120" w:before="280"/>
      </w:pPr>
      <w:r>
        <w:t xml:space="preserve">3.4  Financing, levies and profit</w:t>
      </w:r>
    </w:p>
    <w:p>
      <w:pPr>
        <w:pStyle w:val="Heading3"/>
        <w:spacing w:after="100" w:before="220"/>
      </w:pPr>
      <w:r>
        <w:t xml:space="preserve">17.  Interest expense</w:t>
      </w:r>
    </w:p>
    <w:p>
      <w:pPr>
        <w:spacing w:after="120"/>
      </w:pPr>
      <w:r>
        <w:rPr>
          <w:b w:val="false"/>
          <w:bCs w:val="false"/>
          <w:i w:val="false"/>
          <w:iCs w:val="false"/>
          <w:sz w:val="20"/>
          <w:szCs w:val="20"/>
        </w:rPr>
        <w:t xml:space="preserve">Charged on OPENING balances — this is what keeps the model free of circular references.</w:t>
      </w:r>
    </w:p>
    <w:p>
      <w:pPr>
        <w:shd w:fill="F7F9FC" w:val="clear"/>
        <w:spacing w:after="40" w:before="40"/>
        <w:ind w:left="260"/>
      </w:pPr>
      <w:r>
        <w:rPr>
          <w:rFonts w:ascii="Consolas" w:cs="Consolas" w:eastAsia="Consolas" w:hAnsi="Consolas"/>
          <w:sz w:val="18"/>
          <w:szCs w:val="18"/>
        </w:rPr>
        <w:t xml:space="preserve">interestExpense[t] = Σ( openingBalance[facility] × facilityRate )</w:t>
      </w:r>
    </w:p>
    <w:p>
      <w:pPr>
        <w:shd w:fill="F7F9FC" w:val="clear"/>
        <w:spacing w:after="40" w:before="40"/>
        <w:ind w:left="260"/>
      </w:pPr>
      <w:r>
        <w:rPr>
          <w:rFonts w:ascii="Consolas" w:cs="Consolas" w:eastAsia="Consolas" w:hAnsi="Consolas"/>
          <w:sz w:val="18"/>
          <w:szCs w:val="18"/>
        </w:rPr>
        <w:t xml:space="preserve">                   + openingRevolverBalance × revolverRate</w:t>
      </w:r>
    </w:p>
    <w:p>
      <w:pPr>
        <w:shd w:fill="F7F9FC" w:val="clear"/>
        <w:spacing w:after="40" w:before="40"/>
        <w:ind w:left="260"/>
      </w:pPr>
      <w:r>
        <w:rPr>
          <w:rFonts w:ascii="Consolas" w:cs="Consolas" w:eastAsia="Consolas" w:hAnsi="Consolas"/>
          <w:sz w:val="18"/>
          <w:szCs w:val="18"/>
        </w:rPr>
        <w:t xml:space="preserve">                   + unallocatedLongTermDebt × revolverRate</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Facility opening balances and rates (step 7); revolver rate (step 7 panel C); the opening/named debt reconciliation.</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term facility opening at 42,132,237 at 6.2% = 2,612,199. Plus a revolver opening at 15,844,600 at 7.5% = 1,188,345. Total interest expense = 3,800,544.</w:t>
            </w:r>
          </w:p>
        </w:tc>
      </w:tr>
    </w:tbl>
    <w:p>
      <w:pPr>
        <w:spacing w:after="60"/>
      </w:pPr>
    </w:p>
    <w:p>
      <w:pPr>
        <w:spacing w:after="120"/>
      </w:pPr>
      <w:r>
        <w:rPr>
          <w:b w:val="false"/>
          <w:bCs w:val="false"/>
          <w:i/>
          <w:iCs/>
          <w:sz w:val="19"/>
          <w:szCs w:val="19"/>
        </w:rPr>
        <w:t xml:space="preserve">The balance used is the balance at the START of the year, before that year's drawdowns and repayments.</w:t>
      </w:r>
    </w:p>
    <w:p>
      <w:pPr>
        <w:spacing w:after="100"/>
      </w:pPr>
    </w:p>
    <w:p>
      <w:pPr>
        <w:pStyle w:val="Heading3"/>
        <w:spacing w:after="100" w:before="220"/>
      </w:pPr>
      <w:r>
        <w:t xml:space="preserve">18.  Interest income</w:t>
      </w:r>
    </w:p>
    <w:p>
      <w:pPr>
        <w:spacing w:after="120"/>
      </w:pPr>
      <w:r>
        <w:rPr>
          <w:b w:val="false"/>
          <w:bCs w:val="false"/>
          <w:i w:val="false"/>
          <w:iCs w:val="false"/>
          <w:sz w:val="20"/>
          <w:szCs w:val="20"/>
        </w:rPr>
        <w:t xml:space="preserve">Earned on the cash held at the start of the year. Never negative.</w:t>
      </w:r>
    </w:p>
    <w:p>
      <w:pPr>
        <w:shd w:fill="F7F9FC" w:val="clear"/>
        <w:spacing w:after="40" w:before="40"/>
        <w:ind w:left="260"/>
      </w:pPr>
      <w:r>
        <w:rPr>
          <w:rFonts w:ascii="Consolas" w:cs="Consolas" w:eastAsia="Consolas" w:hAnsi="Consolas"/>
          <w:sz w:val="18"/>
          <w:szCs w:val="18"/>
        </w:rPr>
        <w:t xml:space="preserve">interestIncome[t] = max( 0, openingCash[t] ) × cashInterestRate</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Opening cash (step 10 for year 1, then prior-year closing cash); interest earned on cash (step 7 panel C).</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Opening cash 25,000,000 at 2% = 500,000. If opening cash were negative, interest income is 0, not a negative number.</w:t>
            </w:r>
          </w:p>
        </w:tc>
      </w:tr>
    </w:tbl>
    <w:p>
      <w:pPr>
        <w:spacing w:after="100"/>
      </w:pPr>
    </w:p>
    <w:p>
      <w:pPr>
        <w:pStyle w:val="Heading3"/>
        <w:spacing w:after="100" w:before="220"/>
      </w:pPr>
      <w:r>
        <w:t xml:space="preserve">19.  Profit before zakat and tax</w:t>
      </w:r>
    </w:p>
    <w:p>
      <w:pPr>
        <w:spacing w:after="120"/>
      </w:pPr>
      <w:r>
        <w:rPr>
          <w:b w:val="false"/>
          <w:bCs w:val="false"/>
          <w:i w:val="false"/>
          <w:iCs w:val="false"/>
          <w:sz w:val="20"/>
          <w:szCs w:val="20"/>
        </w:rPr>
        <w:t xml:space="preserve">Operating profit adjusted for the net cost of money.</w:t>
      </w:r>
    </w:p>
    <w:p>
      <w:pPr>
        <w:shd w:fill="F7F9FC" w:val="clear"/>
        <w:spacing w:after="40" w:before="40"/>
        <w:ind w:left="260"/>
      </w:pPr>
      <w:r>
        <w:rPr>
          <w:rFonts w:ascii="Consolas" w:cs="Consolas" w:eastAsia="Consolas" w:hAnsi="Consolas"/>
          <w:sz w:val="18"/>
          <w:szCs w:val="18"/>
        </w:rPr>
        <w:t xml:space="preserve">netFinanceCost[t] = interestIncome[t] − interestExpense[t]</w:t>
      </w:r>
    </w:p>
    <w:p>
      <w:pPr>
        <w:shd w:fill="F7F9FC" w:val="clear"/>
        <w:spacing w:after="40" w:before="40"/>
        <w:ind w:left="260"/>
      </w:pPr>
      <w:r>
        <w:rPr>
          <w:rFonts w:ascii="Consolas" w:cs="Consolas" w:eastAsia="Consolas" w:hAnsi="Consolas"/>
          <w:sz w:val="18"/>
          <w:szCs w:val="18"/>
        </w:rPr>
        <w:t xml:space="preserve">EBT[t]            = EBIT[t] + netFinanceCost[t]</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Formulas 16, 17, 18.</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EBIT 474,000; interest income 10,000; interest expense 60,000. Net finance cost = −50,000. EBT = 424,000.</w:t>
            </w:r>
          </w:p>
        </w:tc>
      </w:tr>
    </w:tbl>
    <w:p>
      <w:pPr>
        <w:spacing w:after="60"/>
      </w:pPr>
    </w:p>
    <w:p>
      <w:pPr>
        <w:spacing w:after="120"/>
      </w:pPr>
      <w:r>
        <w:rPr>
          <w:b w:val="false"/>
          <w:bCs w:val="false"/>
          <w:i/>
          <w:iCs/>
          <w:sz w:val="19"/>
          <w:szCs w:val="19"/>
        </w:rPr>
        <w:t xml:space="preserve">The income statement presents finance income and cost NET on one line.</w:t>
      </w:r>
    </w:p>
    <w:p>
      <w:pPr>
        <w:spacing w:after="100"/>
      </w:pPr>
    </w:p>
    <w:p>
      <w:pPr>
        <w:pStyle w:val="Heading3"/>
        <w:spacing w:after="100" w:before="220"/>
      </w:pPr>
      <w:r>
        <w:t xml:space="preserve">20.  Zakat base (the ZATCA measure)</w:t>
      </w:r>
    </w:p>
    <w:p>
      <w:pPr>
        <w:spacing w:after="120"/>
      </w:pPr>
      <w:r>
        <w:rPr>
          <w:b w:val="false"/>
          <w:bCs w:val="false"/>
          <w:i w:val="false"/>
          <w:iCs w:val="false"/>
          <w:sz w:val="20"/>
          <w:szCs w:val="20"/>
        </w:rPr>
        <w:t xml:space="preserve">The wealth measure zakat is assessed on, floored at profit so a profitable company always pays something.</w:t>
      </w:r>
    </w:p>
    <w:p>
      <w:pPr>
        <w:shd w:fill="F7F9FC" w:val="clear"/>
        <w:spacing w:after="40" w:before="40"/>
        <w:ind w:left="260"/>
      </w:pPr>
      <w:r>
        <w:rPr>
          <w:rFonts w:ascii="Consolas" w:cs="Consolas" w:eastAsia="Consolas" w:hAnsi="Consolas"/>
          <w:sz w:val="18"/>
          <w:szCs w:val="18"/>
        </w:rPr>
        <w:t xml:space="preserve">rawBase  = openingEquity + openingLongTermDebt − openingNetPPE − intangibles</w:t>
      </w:r>
    </w:p>
    <w:p>
      <w:pPr>
        <w:shd w:fill="F7F9FC" w:val="clear"/>
        <w:spacing w:after="40" w:before="40"/>
        <w:ind w:left="260"/>
      </w:pPr>
      <w:r>
        <w:rPr>
          <w:rFonts w:ascii="Consolas" w:cs="Consolas" w:eastAsia="Consolas" w:hAnsi="Consolas"/>
          <w:sz w:val="18"/>
          <w:szCs w:val="18"/>
        </w:rPr>
        <w:t xml:space="preserve">where openingEquity = shareCapital + priorReserve + priorRetainedEarnings</w:t>
      </w:r>
    </w:p>
    <w:p>
      <w:pPr>
        <w:shd w:fill="F7F9FC" w:val="clear"/>
        <w:spacing w:after="40" w:before="40"/>
        <w:ind w:left="260"/>
      </w:pPr>
      <w:r>
        <w:rPr>
          <w:rFonts w:ascii="Consolas" w:cs="Consolas" w:eastAsia="Consolas" w:hAnsi="Consolas"/>
          <w:sz w:val="18"/>
          <w:szCs w:val="18"/>
        </w:rPr>
        <w:t xml:space="preserve">zakatBase = max( rawBase, max(0, EBT) )</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Opening balance sheet (step 10); prior-year equity roll-forward; long-term debt at the start of the year.</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Opening equity 673,150,581 + long-term debt 42,132,237 − net PP&amp;E 496,067,920 − intangibles 0 = 219,214,898. EBT is 424,000, so the base stays 219,214,898.</w:t>
            </w:r>
          </w:p>
        </w:tc>
      </w:tr>
    </w:tbl>
    <w:p>
      <w:pPr>
        <w:spacing w:after="60"/>
      </w:pPr>
    </w:p>
    <w:p>
      <w:pPr>
        <w:spacing w:after="120"/>
      </w:pPr>
      <w:r>
        <w:rPr>
          <w:b w:val="false"/>
          <w:bCs w:val="false"/>
          <w:i/>
          <w:iCs/>
          <w:sz w:val="19"/>
          <w:szCs w:val="19"/>
        </w:rPr>
        <w:t xml:space="preserve">If the raw base were negative (an asset-heavy, low-equity company), the floor of max(0, EBT) applies instead.</w:t>
      </w:r>
    </w:p>
    <w:p>
      <w:pPr>
        <w:spacing w:after="100"/>
      </w:pPr>
    </w:p>
    <w:p>
      <w:pPr>
        <w:pStyle w:val="Heading3"/>
        <w:spacing w:after="100" w:before="220"/>
      </w:pPr>
      <w:r>
        <w:t xml:space="preserve">21.  Levy expense</w:t>
      </w:r>
    </w:p>
    <w:p>
      <w:pPr>
        <w:spacing w:after="120"/>
      </w:pPr>
      <w:r>
        <w:rPr>
          <w:b w:val="false"/>
          <w:bCs w:val="false"/>
          <w:i w:val="false"/>
          <w:iCs w:val="false"/>
          <w:sz w:val="20"/>
          <w:szCs w:val="20"/>
        </w:rPr>
        <w:t xml:space="preserve">Each levy the model defines is charged on its own base at its own rate. Every levy is assessed on profit BEFORE any levy, so the answer does not depend on the order they are listed.</w:t>
      </w:r>
    </w:p>
    <w:p>
      <w:pPr>
        <w:shd w:fill="F7F9FC" w:val="clear"/>
        <w:spacing w:after="40" w:before="40"/>
        <w:ind w:left="260"/>
      </w:pPr>
      <w:r>
        <w:rPr>
          <w:rFonts w:ascii="Consolas" w:cs="Consolas" w:eastAsia="Consolas" w:hAnsi="Consolas"/>
          <w:sz w:val="18"/>
          <w:szCs w:val="18"/>
        </w:rPr>
        <w:t xml:space="preserve">base    = zakatBase          when basis = "Zakat base (ZATCA)"</w:t>
      </w:r>
    </w:p>
    <w:p>
      <w:pPr>
        <w:shd w:fill="F7F9FC" w:val="clear"/>
        <w:spacing w:after="40" w:before="40"/>
        <w:ind w:left="260"/>
      </w:pPr>
      <w:r>
        <w:rPr>
          <w:rFonts w:ascii="Consolas" w:cs="Consolas" w:eastAsia="Consolas" w:hAnsi="Consolas"/>
          <w:sz w:val="18"/>
          <w:szCs w:val="18"/>
        </w:rPr>
        <w:t xml:space="preserve">        = max(0, EBT)       when basis = "Net profit before the levy"</w:t>
      </w:r>
    </w:p>
    <w:p>
      <w:pPr>
        <w:shd w:fill="F7F9FC" w:val="clear"/>
        <w:spacing w:after="40" w:before="40"/>
        <w:ind w:left="260"/>
      </w:pPr>
      <w:r>
        <w:rPr>
          <w:rFonts w:ascii="Consolas" w:cs="Consolas" w:eastAsia="Consolas" w:hAnsi="Consolas"/>
          <w:sz w:val="18"/>
          <w:szCs w:val="18"/>
        </w:rPr>
        <w:t xml:space="preserve">expense = max(0, base) × rate</w:t>
      </w:r>
    </w:p>
    <w:p>
      <w:pPr>
        <w:shd w:fill="F7F9FC" w:val="clear"/>
        <w:spacing w:after="40" w:before="40"/>
        <w:ind w:left="260"/>
      </w:pPr>
      <w:r>
        <w:rPr>
          <w:rFonts w:ascii="Consolas" w:cs="Consolas" w:eastAsia="Consolas" w:hAnsi="Consolas"/>
          <w:sz w:val="18"/>
          <w:szCs w:val="18"/>
        </w:rPr>
        <w:t xml:space="preserve">totalLevies = Σ expense</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Levy rows (step 2). With no levy rows at all, a single "Zakat" levy is used from the model's own stored rate and method.</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Zakat base 500,000 at 2.5% = 12,500. If a second levy of 15% on profit is added and EBT is 424,000, that adds 63,600. Total levies = 76,100. The second levy is NOT charged on 424,000 − 12,500.</w:t>
            </w:r>
          </w:p>
        </w:tc>
      </w:tr>
    </w:tbl>
    <w:p>
      <w:pPr>
        <w:spacing w:after="60"/>
      </w:pPr>
    </w:p>
    <w:p>
      <w:pPr>
        <w:spacing w:after="120"/>
      </w:pPr>
      <w:r>
        <w:rPr>
          <w:b w:val="false"/>
          <w:bCs w:val="false"/>
          <w:i/>
          <w:iCs/>
          <w:sz w:val="19"/>
          <w:szCs w:val="19"/>
        </w:rPr>
        <w:t xml:space="preserve">A single levy keeps its own name on the balance sheet ("Zakat payable"); two or more share the neutral label "Zakat &amp; tax payable".</w:t>
      </w:r>
    </w:p>
    <w:p>
      <w:pPr>
        <w:spacing w:after="100"/>
      </w:pPr>
    </w:p>
    <w:p>
      <w:pPr>
        <w:pStyle w:val="Heading3"/>
        <w:spacing w:after="100" w:before="220"/>
      </w:pPr>
      <w:r>
        <w:t xml:space="preserve">22.  Net profit for the year</w:t>
      </w:r>
    </w:p>
    <w:p>
      <w:pPr>
        <w:spacing w:after="120"/>
      </w:pPr>
      <w:r>
        <w:rPr>
          <w:b w:val="false"/>
          <w:bCs w:val="false"/>
          <w:i w:val="false"/>
          <w:iCs w:val="false"/>
          <w:sz w:val="20"/>
          <w:szCs w:val="20"/>
        </w:rPr>
        <w:t xml:space="preserve">The bottom line, after levies and after any user-added profit rows.</w:t>
      </w:r>
    </w:p>
    <w:p>
      <w:pPr>
        <w:shd w:fill="F7F9FC" w:val="clear"/>
        <w:spacing w:after="40" w:before="40"/>
        <w:ind w:left="260"/>
      </w:pPr>
      <w:r>
        <w:rPr>
          <w:rFonts w:ascii="Consolas" w:cs="Consolas" w:eastAsia="Consolas" w:hAnsi="Consolas"/>
          <w:sz w:val="18"/>
          <w:szCs w:val="18"/>
        </w:rPr>
        <w:t xml:space="preserve">netProfit[t] = EBT[t] − totalLevies[t] + userAddedProfitRows[t]</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Formulas 19 and 21; any custom income-statement rows not already cascaded into a subtotal.</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EBT 424,000 − levies 12,500 = 411,500.</w:t>
            </w:r>
          </w:p>
        </w:tc>
      </w:tr>
    </w:tbl>
    <w:p>
      <w:pPr>
        <w:spacing w:after="100"/>
      </w:pPr>
    </w:p>
    <w:p>
      <w:pPr>
        <w:pStyle w:val="Heading3"/>
        <w:spacing w:after="100" w:before="220"/>
      </w:pPr>
      <w:r>
        <w:t xml:space="preserve">23.  Dividends and the statutory reserve</w:t>
      </w:r>
    </w:p>
    <w:p>
      <w:pPr>
        <w:spacing w:after="120"/>
      </w:pPr>
      <w:r>
        <w:rPr>
          <w:b w:val="false"/>
          <w:bCs w:val="false"/>
          <w:i w:val="false"/>
          <w:iCs w:val="false"/>
          <w:sz w:val="20"/>
          <w:szCs w:val="20"/>
        </w:rPr>
        <w:t xml:space="preserve">Appropriations of profit, not expenses. Both are floored at zero profit — a loss year distributes nothing.</w:t>
      </w:r>
    </w:p>
    <w:p>
      <w:pPr>
        <w:shd w:fill="F7F9FC" w:val="clear"/>
        <w:spacing w:after="40" w:before="40"/>
        <w:ind w:left="260"/>
      </w:pPr>
      <w:r>
        <w:rPr>
          <w:rFonts w:ascii="Consolas" w:cs="Consolas" w:eastAsia="Consolas" w:hAnsi="Consolas"/>
          <w:sz w:val="18"/>
          <w:szCs w:val="18"/>
        </w:rPr>
        <w:t xml:space="preserve">dividends[t]       = max(0, netProfit[t]) × dividendPayoutPct</w:t>
      </w:r>
    </w:p>
    <w:p>
      <w:pPr>
        <w:shd w:fill="F7F9FC" w:val="clear"/>
        <w:spacing w:after="40" w:before="40"/>
        <w:ind w:left="260"/>
      </w:pPr>
      <w:r>
        <w:rPr>
          <w:rFonts w:ascii="Consolas" w:cs="Consolas" w:eastAsia="Consolas" w:hAnsi="Consolas"/>
          <w:sz w:val="18"/>
          <w:szCs w:val="18"/>
        </w:rPr>
        <w:t xml:space="preserve">reserveTransfer[t] = max(0, netProfit[t]) × statutoryReservePct</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Dividend payout ratio and statutory reserve transfer (step 7 panel C).</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Net profit 411,500 with a 30% payout and a 10% reserve: dividends 123,450; reserve transfer 41,150; retained 246,900.</w:t>
            </w:r>
          </w:p>
        </w:tc>
      </w:tr>
    </w:tbl>
    <w:p>
      <w:pPr>
        <w:spacing w:after="60"/>
      </w:pPr>
    </w:p>
    <w:p>
      <w:pPr>
        <w:spacing w:after="120"/>
      </w:pPr>
      <w:r>
        <w:rPr>
          <w:b w:val="false"/>
          <w:bCs w:val="false"/>
          <w:i/>
          <w:iCs/>
          <w:sz w:val="19"/>
          <w:szCs w:val="19"/>
        </w:rPr>
        <w:t xml:space="preserve">Nothing checks that payout + reserve ≤ 100%. Entering 80% and 80% distributes 160% of profit — see U12.</w:t>
      </w:r>
    </w:p>
    <w:p>
      <w:pPr>
        <w:spacing w:after="100"/>
      </w:pPr>
    </w:p>
    <w:p>
      <w:pPr>
        <w:pStyle w:val="Heading2"/>
        <w:spacing w:after="120" w:before="280"/>
      </w:pPr>
      <w:r>
        <w:t xml:space="preserve">3.5  Working capital and the balance sheet</w:t>
      </w:r>
    </w:p>
    <w:p>
      <w:pPr>
        <w:pStyle w:val="Heading3"/>
        <w:spacing w:after="100" w:before="220"/>
      </w:pPr>
      <w:r>
        <w:t xml:space="preserve">24.  Working capital balances</w:t>
      </w:r>
    </w:p>
    <w:p>
      <w:pPr>
        <w:spacing w:after="120"/>
      </w:pPr>
      <w:r>
        <w:rPr>
          <w:b w:val="false"/>
          <w:bCs w:val="false"/>
          <w:i w:val="false"/>
          <w:iCs w:val="false"/>
          <w:sz w:val="20"/>
          <w:szCs w:val="20"/>
        </w:rPr>
        <w:t xml:space="preserve">Four balance-sheet lines driven by day counts. Each is a closing balance, not a movement.</w:t>
      </w:r>
    </w:p>
    <w:p>
      <w:pPr>
        <w:shd w:fill="F7F9FC" w:val="clear"/>
        <w:spacing w:after="40" w:before="40"/>
        <w:ind w:left="260"/>
      </w:pPr>
      <w:r>
        <w:rPr>
          <w:rFonts w:ascii="Consolas" w:cs="Consolas" w:eastAsia="Consolas" w:hAnsi="Consolas"/>
          <w:sz w:val="18"/>
          <w:szCs w:val="18"/>
        </w:rPr>
        <w:t xml:space="preserve">receivables[t] = ( arDays[t]        ÷ daysInPeriod ) × totalRevenue[t]</w:t>
      </w:r>
    </w:p>
    <w:p>
      <w:pPr>
        <w:shd w:fill="F7F9FC" w:val="clear"/>
        <w:spacing w:after="40" w:before="40"/>
        <w:ind w:left="260"/>
      </w:pPr>
      <w:r>
        <w:rPr>
          <w:rFonts w:ascii="Consolas" w:cs="Consolas" w:eastAsia="Consolas" w:hAnsi="Consolas"/>
          <w:sz w:val="18"/>
          <w:szCs w:val="18"/>
        </w:rPr>
        <w:t xml:space="preserve">inventory[t]   = ( inventoryDays[t] ÷ daysInPeriod ) × |costOfSales[t]|</w:t>
      </w:r>
    </w:p>
    <w:p>
      <w:pPr>
        <w:shd w:fill="F7F9FC" w:val="clear"/>
        <w:spacing w:after="40" w:before="40"/>
        <w:ind w:left="260"/>
      </w:pPr>
      <w:r>
        <w:rPr>
          <w:rFonts w:ascii="Consolas" w:cs="Consolas" w:eastAsia="Consolas" w:hAnsi="Consolas"/>
          <w:sz w:val="18"/>
          <w:szCs w:val="18"/>
        </w:rPr>
        <w:t xml:space="preserve">payables[t]    = ( apDays[t]        ÷ daysInPeriod ) × |costOfSales[t]|</w:t>
      </w:r>
    </w:p>
    <w:p>
      <w:pPr>
        <w:shd w:fill="F7F9FC" w:val="clear"/>
        <w:spacing w:after="40" w:before="40"/>
        <w:ind w:left="260"/>
      </w:pPr>
      <w:r>
        <w:rPr>
          <w:rFonts w:ascii="Consolas" w:cs="Consolas" w:eastAsia="Consolas" w:hAnsi="Consolas"/>
          <w:sz w:val="18"/>
          <w:szCs w:val="18"/>
        </w:rPr>
        <w:t xml:space="preserve">accruals[t]    = ( accrualDays[t]   ÷ daysInPeriod ) × |operatingExpenses[t]|</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Day counts per year (step 3); days in period (step 2); revenue and cost of sales for the year.</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30 receivable days, 365 days in period, revenue 1,100,000 → receivables = (30 ÷ 365) × 1,100,000 = 90,410.96.</w:t>
            </w:r>
          </w:p>
        </w:tc>
      </w:tr>
    </w:tbl>
    <w:p>
      <w:pPr>
        <w:spacing w:after="60"/>
      </w:pPr>
    </w:p>
    <w:p>
      <w:pPr>
        <w:spacing w:after="120"/>
      </w:pPr>
      <w:r>
        <w:rPr>
          <w:b w:val="false"/>
          <w:bCs w:val="false"/>
          <w:i/>
          <w:iCs/>
          <w:sz w:val="19"/>
          <w:szCs w:val="19"/>
        </w:rPr>
        <w:t xml:space="preserve">Accruals deliberately exclude any user-added operating-expense row — a one-off charge should not invent a payment cycle.</w:t>
      </w:r>
    </w:p>
    <w:p>
      <w:pPr>
        <w:spacing w:after="100"/>
      </w:pPr>
    </w:p>
    <w:p>
      <w:pPr>
        <w:pStyle w:val="Heading3"/>
        <w:spacing w:after="100" w:before="220"/>
      </w:pPr>
      <w:r>
        <w:t xml:space="preserve">25.  Cash from operating activities</w:t>
      </w:r>
    </w:p>
    <w:p>
      <w:pPr>
        <w:spacing w:after="120"/>
      </w:pPr>
      <w:r>
        <w:rPr>
          <w:b w:val="false"/>
          <w:bCs w:val="false"/>
          <w:i w:val="false"/>
          <w:iCs w:val="false"/>
          <w:sz w:val="20"/>
          <w:szCs w:val="20"/>
        </w:rPr>
        <w:t xml:space="preserve">Profit converted to cash: add back the non-cash charges, then adjust for every movement in working capital.</w:t>
      </w:r>
    </w:p>
    <w:p>
      <w:pPr>
        <w:shd w:fill="F7F9FC" w:val="clear"/>
        <w:spacing w:after="40" w:before="40"/>
        <w:ind w:left="260"/>
      </w:pPr>
      <w:r>
        <w:rPr>
          <w:rFonts w:ascii="Consolas" w:cs="Consolas" w:eastAsia="Consolas" w:hAnsi="Consolas"/>
          <w:sz w:val="18"/>
          <w:szCs w:val="18"/>
        </w:rPr>
        <w:t xml:space="preserve">CFO[t] = netProfit[t] + depreciation[t]</w:t>
      </w:r>
    </w:p>
    <w:p>
      <w:pPr>
        <w:shd w:fill="F7F9FC" w:val="clear"/>
        <w:spacing w:after="40" w:before="40"/>
        <w:ind w:left="260"/>
      </w:pPr>
      <w:r>
        <w:rPr>
          <w:rFonts w:ascii="Consolas" w:cs="Consolas" w:eastAsia="Consolas" w:hAnsi="Consolas"/>
          <w:sz w:val="18"/>
          <w:szCs w:val="18"/>
        </w:rPr>
        <w:t xml:space="preserve">       + (receivables[t−1] − receivables[t])     ← a rise in receivables consumes cash</w:t>
      </w:r>
    </w:p>
    <w:p>
      <w:pPr>
        <w:shd w:fill="F7F9FC" w:val="clear"/>
        <w:spacing w:after="40" w:before="40"/>
        <w:ind w:left="260"/>
      </w:pPr>
      <w:r>
        <w:rPr>
          <w:rFonts w:ascii="Consolas" w:cs="Consolas" w:eastAsia="Consolas" w:hAnsi="Consolas"/>
          <w:sz w:val="18"/>
          <w:szCs w:val="18"/>
        </w:rPr>
        <w:t xml:space="preserve">       + (inventory[t−1]   − inventory[t])</w:t>
      </w:r>
    </w:p>
    <w:p>
      <w:pPr>
        <w:shd w:fill="F7F9FC" w:val="clear"/>
        <w:spacing w:after="40" w:before="40"/>
        <w:ind w:left="260"/>
      </w:pPr>
      <w:r>
        <w:rPr>
          <w:rFonts w:ascii="Consolas" w:cs="Consolas" w:eastAsia="Consolas" w:hAnsi="Consolas"/>
          <w:sz w:val="18"/>
          <w:szCs w:val="18"/>
        </w:rPr>
        <w:t xml:space="preserve">       + (otherCA[t−1]     − otherCA[t])</w:t>
      </w:r>
    </w:p>
    <w:p>
      <w:pPr>
        <w:shd w:fill="F7F9FC" w:val="clear"/>
        <w:spacing w:after="40" w:before="40"/>
        <w:ind w:left="260"/>
      </w:pPr>
      <w:r>
        <w:rPr>
          <w:rFonts w:ascii="Consolas" w:cs="Consolas" w:eastAsia="Consolas" w:hAnsi="Consolas"/>
          <w:sz w:val="18"/>
          <w:szCs w:val="18"/>
        </w:rPr>
        <w:t xml:space="preserve">       + (payables[t]  − payables[t−1])          ← a rise in payables releases cash</w:t>
      </w:r>
    </w:p>
    <w:p>
      <w:pPr>
        <w:shd w:fill="F7F9FC" w:val="clear"/>
        <w:spacing w:after="40" w:before="40"/>
        <w:ind w:left="260"/>
      </w:pPr>
      <w:r>
        <w:rPr>
          <w:rFonts w:ascii="Consolas" w:cs="Consolas" w:eastAsia="Consolas" w:hAnsi="Consolas"/>
          <w:sz w:val="18"/>
          <w:szCs w:val="18"/>
        </w:rPr>
        <w:t xml:space="preserve">       + (accruals[t]  − accruals[t−1])</w:t>
      </w:r>
    </w:p>
    <w:p>
      <w:pPr>
        <w:shd w:fill="F7F9FC" w:val="clear"/>
        <w:spacing w:after="40" w:before="40"/>
        <w:ind w:left="260"/>
      </w:pPr>
      <w:r>
        <w:rPr>
          <w:rFonts w:ascii="Consolas" w:cs="Consolas" w:eastAsia="Consolas" w:hAnsi="Consolas"/>
          <w:sz w:val="18"/>
          <w:szCs w:val="18"/>
        </w:rPr>
        <w:t xml:space="preserve">       + (levyPayable[t] − levyPayable[t−1])</w:t>
      </w:r>
    </w:p>
    <w:p>
      <w:pPr>
        <w:shd w:fill="F7F9FC" w:val="clear"/>
        <w:spacing w:after="40" w:before="40"/>
        <w:ind w:left="260"/>
      </w:pPr>
      <w:r>
        <w:rPr>
          <w:rFonts w:ascii="Consolas" w:cs="Consolas" w:eastAsia="Consolas" w:hAnsi="Consolas"/>
          <w:sz w:val="18"/>
          <w:szCs w:val="18"/>
        </w:rPr>
        <w:t xml:space="preserve">       + (otherCL[t]   − otherCL[t−1])</w:t>
      </w:r>
    </w:p>
    <w:p>
      <w:pPr>
        <w:shd w:fill="F7F9FC" w:val="clear"/>
        <w:spacing w:after="40" w:before="40"/>
        <w:ind w:left="260"/>
      </w:pPr>
      <w:r>
        <w:rPr>
          <w:rFonts w:ascii="Consolas" w:cs="Consolas" w:eastAsia="Consolas" w:hAnsi="Consolas"/>
          <w:sz w:val="18"/>
          <w:szCs w:val="18"/>
        </w:rPr>
        <w:t xml:space="preserve">       + (provisions[t] − provisions[t−1])</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Formulas 22, 11–14, 24; opening balances (step 10).</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Net profit 411,500 + depreciation 56,000 − receivables up 10,000 + payables up 4,000 = CFO 461,500.</w:t>
            </w:r>
          </w:p>
        </w:tc>
      </w:tr>
    </w:tbl>
    <w:p>
      <w:pPr>
        <w:spacing w:after="60"/>
      </w:pPr>
    </w:p>
    <w:p>
      <w:pPr>
        <w:spacing w:after="120"/>
      </w:pPr>
      <w:r>
        <w:rPr>
          <w:b w:val="false"/>
          <w:bCs w:val="false"/>
          <w:i/>
          <w:iCs/>
          <w:sz w:val="19"/>
          <w:szCs w:val="19"/>
        </w:rPr>
        <w:t xml:space="preserve">The levy payable line settles LAST year's assessment and accrues THIS year's, which is why the movement rather than the payment appears here.</w:t>
      </w:r>
    </w:p>
    <w:p>
      <w:pPr>
        <w:spacing w:after="100"/>
      </w:pPr>
    </w:p>
    <w:p>
      <w:pPr>
        <w:pStyle w:val="Heading3"/>
        <w:spacing w:after="100" w:before="220"/>
      </w:pPr>
      <w:r>
        <w:t xml:space="preserve">26.  Cash from investing, and the revolver sweep</w:t>
      </w:r>
    </w:p>
    <w:p>
      <w:pPr>
        <w:spacing w:after="120"/>
      </w:pPr>
      <w:r>
        <w:rPr>
          <w:b w:val="false"/>
          <w:bCs w:val="false"/>
          <w:i w:val="false"/>
          <w:iCs w:val="false"/>
          <w:sz w:val="20"/>
          <w:szCs w:val="20"/>
        </w:rPr>
        <w:t xml:space="preserve">Investing is simply the capex. Financing then draws or repays the revolver to defend the minimum cash balance.</w:t>
      </w:r>
    </w:p>
    <w:p>
      <w:pPr>
        <w:shd w:fill="F7F9FC" w:val="clear"/>
        <w:spacing w:after="40" w:before="40"/>
        <w:ind w:left="260"/>
      </w:pPr>
      <w:r>
        <w:rPr>
          <w:rFonts w:ascii="Consolas" w:cs="Consolas" w:eastAsia="Consolas" w:hAnsi="Consolas"/>
          <w:sz w:val="18"/>
          <w:szCs w:val="18"/>
        </w:rPr>
        <w:t xml:space="preserve">CFI[t] = −capexPlan[t]</w:t>
      </w:r>
    </w:p>
    <w:p>
      <w:pPr>
        <w:shd w:fill="F7F9FC" w:val="clear"/>
        <w:spacing w:after="40" w:before="40"/>
        <w:ind w:left="260"/>
      </w:pPr>
      <w:r>
        <w:rPr>
          <w:rFonts w:ascii="Consolas" w:cs="Consolas" w:eastAsia="Consolas" w:hAnsi="Consolas"/>
          <w:sz w:val="18"/>
          <w:szCs w:val="18"/>
        </w:rPr>
        <w:t xml:space="preserve"/>
      </w:r>
    </w:p>
    <w:p>
      <w:pPr>
        <w:shd w:fill="F7F9FC" w:val="clear"/>
        <w:spacing w:after="40" w:before="40"/>
        <w:ind w:left="260"/>
      </w:pPr>
      <w:r>
        <w:rPr>
          <w:rFonts w:ascii="Consolas" w:cs="Consolas" w:eastAsia="Consolas" w:hAnsi="Consolas"/>
          <w:sz w:val="18"/>
          <w:szCs w:val="18"/>
        </w:rPr>
        <w:t xml:space="preserve">repayment applied = min( scheduled repayment, openingBalance + drawdown )</w:t>
      </w:r>
    </w:p>
    <w:p>
      <w:pPr>
        <w:shd w:fill="F7F9FC" w:val="clear"/>
        <w:spacing w:after="40" w:before="40"/>
        <w:ind w:left="260"/>
      </w:pPr>
      <w:r>
        <w:rPr>
          <w:rFonts w:ascii="Consolas" w:cs="Consolas" w:eastAsia="Consolas" w:hAnsi="Consolas"/>
          <w:sz w:val="18"/>
          <w:szCs w:val="18"/>
        </w:rPr>
        <w:t xml:space="preserve">cffBeforeRevolver = drawdowns − repayments − dividends</w:t>
      </w:r>
    </w:p>
    <w:p>
      <w:pPr>
        <w:shd w:fill="F7F9FC" w:val="clear"/>
        <w:spacing w:after="40" w:before="40"/>
        <w:ind w:left="260"/>
      </w:pPr>
      <w:r>
        <w:rPr>
          <w:rFonts w:ascii="Consolas" w:cs="Consolas" w:eastAsia="Consolas" w:hAnsi="Consolas"/>
          <w:sz w:val="18"/>
          <w:szCs w:val="18"/>
        </w:rPr>
        <w:t xml:space="preserve">cashBeforeRevolver = openingCash + CFO + CFI + cffBeforeRevolver</w:t>
      </w:r>
    </w:p>
    <w:p>
      <w:pPr>
        <w:shd w:fill="F7F9FC" w:val="clear"/>
        <w:spacing w:after="40" w:before="40"/>
        <w:ind w:left="260"/>
      </w:pPr>
      <w:r>
        <w:rPr>
          <w:rFonts w:ascii="Consolas" w:cs="Consolas" w:eastAsia="Consolas" w:hAnsi="Consolas"/>
          <w:sz w:val="18"/>
          <w:szCs w:val="18"/>
        </w:rPr>
        <w:t xml:space="preserve"/>
      </w:r>
    </w:p>
    <w:p>
      <w:pPr>
        <w:shd w:fill="F7F9FC" w:val="clear"/>
        <w:spacing w:after="40" w:before="40"/>
        <w:ind w:left="260"/>
      </w:pPr>
      <w:r>
        <w:rPr>
          <w:rFonts w:ascii="Consolas" w:cs="Consolas" w:eastAsia="Consolas" w:hAnsi="Consolas"/>
          <w:sz w:val="18"/>
          <w:szCs w:val="18"/>
        </w:rPr>
        <w:t xml:space="preserve">if  cashBeforeRevolver &lt; minimumCash:</w:t>
      </w:r>
    </w:p>
    <w:p>
      <w:pPr>
        <w:shd w:fill="F7F9FC" w:val="clear"/>
        <w:spacing w:after="40" w:before="40"/>
        <w:ind w:left="260"/>
      </w:pPr>
      <w:r>
        <w:rPr>
          <w:rFonts w:ascii="Consolas" w:cs="Consolas" w:eastAsia="Consolas" w:hAnsi="Consolas"/>
          <w:sz w:val="18"/>
          <w:szCs w:val="18"/>
        </w:rPr>
        <w:t xml:space="preserve">        revolverDraw  = minimumCash − cashBeforeRevolver</w:t>
      </w:r>
    </w:p>
    <w:p>
      <w:pPr>
        <w:shd w:fill="F7F9FC" w:val="clear"/>
        <w:spacing w:after="40" w:before="40"/>
        <w:ind w:left="260"/>
      </w:pPr>
      <w:r>
        <w:rPr>
          <w:rFonts w:ascii="Consolas" w:cs="Consolas" w:eastAsia="Consolas" w:hAnsi="Consolas"/>
          <w:sz w:val="18"/>
          <w:szCs w:val="18"/>
        </w:rPr>
        <w:t xml:space="preserve">else:   revolverRepay = min( revolverBalance, cashBeforeRevolver − minimumCash )</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Capex plan (formula 15); facility schedules (step 7); minimum cash (step 7 panel C).</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Minimum cash 25,000,000. Cash before the revolver comes to 18,000,000 → the revolver draws 7,000,000 to reach exactly 25,000,000. If instead it came to 40,000,000 and the revolver stood at 10,000,000, it repays min(10,000,000, 15,000,000) = 10,000,000 and clears.</w:t>
            </w:r>
          </w:p>
        </w:tc>
      </w:tr>
    </w:tbl>
    <w:p>
      <w:pPr>
        <w:spacing w:after="60"/>
      </w:pPr>
    </w:p>
    <w:p>
      <w:pPr>
        <w:spacing w:after="120"/>
      </w:pPr>
      <w:r>
        <w:rPr>
          <w:b w:val="false"/>
          <w:bCs w:val="false"/>
          <w:i/>
          <w:iCs/>
          <w:sz w:val="19"/>
          <w:szCs w:val="19"/>
        </w:rPr>
        <w:t xml:space="preserve">The revolver both draws and repays automatically. It is never entered as a facility — the "Working capital facility" in the seeded data is a separate named short-term instrument.</w:t>
      </w:r>
    </w:p>
    <w:p>
      <w:pPr>
        <w:spacing w:after="100"/>
      </w:pPr>
    </w:p>
    <w:p>
      <w:pPr>
        <w:pStyle w:val="Heading3"/>
        <w:spacing w:after="100" w:before="220"/>
      </w:pPr>
      <w:r>
        <w:t xml:space="preserve">27.  Cash from financing, and closing cash</w:t>
      </w:r>
    </w:p>
    <w:p>
      <w:pPr>
        <w:spacing w:after="120"/>
      </w:pPr>
      <w:r>
        <w:rPr>
          <w:b w:val="false"/>
          <w:bCs w:val="false"/>
          <w:i w:val="false"/>
          <w:iCs w:val="false"/>
          <w:sz w:val="20"/>
          <w:szCs w:val="20"/>
        </w:rPr>
        <w:t xml:space="preserve">Debt movements and distributions, then the cash balance itself.</w:t>
      </w:r>
    </w:p>
    <w:p>
      <w:pPr>
        <w:shd w:fill="F7F9FC" w:val="clear"/>
        <w:spacing w:after="40" w:before="40"/>
        <w:ind w:left="260"/>
      </w:pPr>
      <w:r>
        <w:rPr>
          <w:rFonts w:ascii="Consolas" w:cs="Consolas" w:eastAsia="Consolas" w:hAnsi="Consolas"/>
          <w:sz w:val="18"/>
          <w:szCs w:val="18"/>
        </w:rPr>
        <w:t xml:space="preserve">CFF[t]        = drawdowns − repayments − dividends + revolverDraw − revolverRepay</w:t>
      </w:r>
    </w:p>
    <w:p>
      <w:pPr>
        <w:shd w:fill="F7F9FC" w:val="clear"/>
        <w:spacing w:after="40" w:before="40"/>
        <w:ind w:left="260"/>
      </w:pPr>
      <w:r>
        <w:rPr>
          <w:rFonts w:ascii="Consolas" w:cs="Consolas" w:eastAsia="Consolas" w:hAnsi="Consolas"/>
          <w:sz w:val="18"/>
          <w:szCs w:val="18"/>
        </w:rPr>
        <w:t xml:space="preserve">netChange[t]  = CFO[t] + CFI[t] + CFF[t]</w:t>
      </w:r>
    </w:p>
    <w:p>
      <w:pPr>
        <w:shd w:fill="F7F9FC" w:val="clear"/>
        <w:spacing w:after="40" w:before="40"/>
        <w:ind w:left="260"/>
      </w:pPr>
      <w:r>
        <w:rPr>
          <w:rFonts w:ascii="Consolas" w:cs="Consolas" w:eastAsia="Consolas" w:hAnsi="Consolas"/>
          <w:sz w:val="18"/>
          <w:szCs w:val="18"/>
        </w:rPr>
        <w:t xml:space="preserve">closingCash[t] = openingCash[t] + netChange[t]</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Formulas 25, 26; dividends (formula 23).</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Opening cash 25,000,000 + CFO 461,500 − capex 150,000 + CFF 0 = closing cash 25,311,500.</w:t>
            </w:r>
          </w:p>
        </w:tc>
      </w:tr>
    </w:tbl>
    <w:p>
      <w:pPr>
        <w:spacing w:after="60"/>
      </w:pPr>
    </w:p>
    <w:p>
      <w:pPr>
        <w:spacing w:after="120"/>
      </w:pPr>
      <w:r>
        <w:rPr>
          <w:b w:val="false"/>
          <w:bCs w:val="false"/>
          <w:i/>
          <w:iCs/>
          <w:sz w:val="19"/>
          <w:szCs w:val="19"/>
        </w:rPr>
        <w:t xml:space="preserve">Closing cash becomes next year's opening cash, and the basis for next year's interest income.</w:t>
      </w:r>
    </w:p>
    <w:p>
      <w:pPr>
        <w:spacing w:after="100"/>
      </w:pPr>
    </w:p>
    <w:p>
      <w:pPr>
        <w:pStyle w:val="Heading3"/>
        <w:spacing w:after="100" w:before="220"/>
      </w:pPr>
      <w:r>
        <w:t xml:space="preserve">28.  Equity roll-forward</w:t>
      </w:r>
    </w:p>
    <w:p>
      <w:pPr>
        <w:spacing w:after="120"/>
      </w:pPr>
      <w:r>
        <w:rPr>
          <w:b w:val="false"/>
          <w:bCs w:val="false"/>
          <w:i w:val="false"/>
          <w:iCs w:val="false"/>
          <w:sz w:val="20"/>
          <w:szCs w:val="20"/>
        </w:rPr>
        <w:t xml:space="preserve">How the owners' stake changes each year.</w:t>
      </w:r>
    </w:p>
    <w:p>
      <w:pPr>
        <w:shd w:fill="F7F9FC" w:val="clear"/>
        <w:spacing w:after="40" w:before="40"/>
        <w:ind w:left="260"/>
      </w:pPr>
      <w:r>
        <w:rPr>
          <w:rFonts w:ascii="Consolas" w:cs="Consolas" w:eastAsia="Consolas" w:hAnsi="Consolas"/>
          <w:sz w:val="18"/>
          <w:szCs w:val="18"/>
        </w:rPr>
        <w:t xml:space="preserve">statutoryReserve[t]  = statutoryReserve[t−1] + reserveTransfer[t]</w:t>
      </w:r>
    </w:p>
    <w:p>
      <w:pPr>
        <w:shd w:fill="F7F9FC" w:val="clear"/>
        <w:spacing w:after="40" w:before="40"/>
        <w:ind w:left="260"/>
      </w:pPr>
      <w:r>
        <w:rPr>
          <w:rFonts w:ascii="Consolas" w:cs="Consolas" w:eastAsia="Consolas" w:hAnsi="Consolas"/>
          <w:sz w:val="18"/>
          <w:szCs w:val="18"/>
        </w:rPr>
        <w:t xml:space="preserve">retainedEarnings[t]  = retainedEarnings[t−1] + netProfit[t] − dividends[t] − reserveTransfer[t]</w:t>
      </w:r>
    </w:p>
    <w:p>
      <w:pPr>
        <w:shd w:fill="F7F9FC" w:val="clear"/>
        <w:spacing w:after="40" w:before="40"/>
        <w:ind w:left="260"/>
      </w:pPr>
      <w:r>
        <w:rPr>
          <w:rFonts w:ascii="Consolas" w:cs="Consolas" w:eastAsia="Consolas" w:hAnsi="Consolas"/>
          <w:sz w:val="18"/>
          <w:szCs w:val="18"/>
        </w:rPr>
        <w:t xml:space="preserve">shareCapital[t]      = shareCapital[t−1]     (never changes)</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Formulas 22 and 23; opening equity (step 10).</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Opening retained earnings 643,150,581 + net profit 411,500 − dividends 123,450 − reserve 41,150 = 643,397,481.</w:t>
            </w:r>
          </w:p>
        </w:tc>
      </w:tr>
    </w:tbl>
    <w:p>
      <w:pPr>
        <w:spacing w:after="100"/>
      </w:pPr>
    </w:p>
    <w:p>
      <w:pPr>
        <w:pStyle w:val="Heading3"/>
        <w:spacing w:after="100" w:before="220"/>
      </w:pPr>
      <w:r>
        <w:t xml:space="preserve">29.  The balance check</w:t>
      </w:r>
    </w:p>
    <w:p>
      <w:pPr>
        <w:spacing w:after="120"/>
      </w:pPr>
      <w:r>
        <w:rPr>
          <w:b w:val="false"/>
          <w:bCs w:val="false"/>
          <w:i w:val="false"/>
          <w:iCs w:val="false"/>
          <w:sz w:val="20"/>
          <w:szCs w:val="20"/>
        </w:rPr>
        <w:t xml:space="preserve">The single most important test in the system. It must be zero in every forecast year.</w:t>
      </w:r>
    </w:p>
    <w:p>
      <w:pPr>
        <w:shd w:fill="F7F9FC" w:val="clear"/>
        <w:spacing w:after="40" w:before="40"/>
        <w:ind w:left="260"/>
      </w:pPr>
      <w:r>
        <w:rPr>
          <w:rFonts w:ascii="Consolas" w:cs="Consolas" w:eastAsia="Consolas" w:hAnsi="Consolas"/>
          <w:sz w:val="18"/>
          <w:szCs w:val="18"/>
        </w:rPr>
        <w:t xml:space="preserve">totalAssets      = cash + receivables + inventory + otherCA + netPPE + intangibles</w:t>
      </w:r>
    </w:p>
    <w:p>
      <w:pPr>
        <w:shd w:fill="F7F9FC" w:val="clear"/>
        <w:spacing w:after="40" w:before="40"/>
        <w:ind w:left="260"/>
      </w:pPr>
      <w:r>
        <w:rPr>
          <w:rFonts w:ascii="Consolas" w:cs="Consolas" w:eastAsia="Consolas" w:hAnsi="Consolas"/>
          <w:sz w:val="18"/>
          <w:szCs w:val="18"/>
        </w:rPr>
        <w:t xml:space="preserve">totalLiabilities = payables + accruals + levyPayable + otherCL + shortTermDebt&amp;revolver</w:t>
      </w:r>
    </w:p>
    <w:p>
      <w:pPr>
        <w:shd w:fill="F7F9FC" w:val="clear"/>
        <w:spacing w:after="40" w:before="40"/>
        <w:ind w:left="260"/>
      </w:pPr>
      <w:r>
        <w:rPr>
          <w:rFonts w:ascii="Consolas" w:cs="Consolas" w:eastAsia="Consolas" w:hAnsi="Consolas"/>
          <w:sz w:val="18"/>
          <w:szCs w:val="18"/>
        </w:rPr>
        <w:t xml:space="preserve">                   + dueToGroup + longTermDebt + provisions</w:t>
      </w:r>
    </w:p>
    <w:p>
      <w:pPr>
        <w:shd w:fill="F7F9FC" w:val="clear"/>
        <w:spacing w:after="40" w:before="40"/>
        <w:ind w:left="260"/>
      </w:pPr>
      <w:r>
        <w:rPr>
          <w:rFonts w:ascii="Consolas" w:cs="Consolas" w:eastAsia="Consolas" w:hAnsi="Consolas"/>
          <w:sz w:val="18"/>
          <w:szCs w:val="18"/>
        </w:rPr>
        <w:t xml:space="preserve">totalEquity      = shareCapital + statutoryReserve + retainedEarnings + otherEquityMovements</w:t>
      </w:r>
    </w:p>
    <w:p>
      <w:pPr>
        <w:shd w:fill="F7F9FC" w:val="clear"/>
        <w:spacing w:after="40" w:before="40"/>
        <w:ind w:left="260"/>
      </w:pPr>
      <w:r>
        <w:rPr>
          <w:rFonts w:ascii="Consolas" w:cs="Consolas" w:eastAsia="Consolas" w:hAnsi="Consolas"/>
          <w:sz w:val="18"/>
          <w:szCs w:val="18"/>
        </w:rPr>
        <w:t xml:space="preserve">balanceCheck     = (totalLiabilities + totalEquity) − totalAssets      → must be 0</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Everything above.</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model where the opening sheet balances must show 0.00 (or within ±0.50) on this row for every forecast year. Anything else is a defect worth raising immediately.</w:t>
            </w:r>
          </w:p>
        </w:tc>
      </w:tr>
    </w:tbl>
    <w:p>
      <w:pPr>
        <w:spacing w:after="60"/>
      </w:pPr>
    </w:p>
    <w:p>
      <w:pPr>
        <w:spacing w:after="120"/>
      </w:pPr>
      <w:r>
        <w:rPr>
          <w:b w:val="false"/>
          <w:bCs w:val="false"/>
          <w:i/>
          <w:iCs/>
          <w:sz w:val="19"/>
          <w:szCs w:val="19"/>
        </w:rPr>
        <w:t xml:space="preserve">The opening balance sheet is checked separately, so an unbalanced starting point is reported as a data problem rather than propagating silently.</w:t>
      </w:r>
    </w:p>
    <w:p>
      <w:pPr>
        <w:spacing w:after="100"/>
      </w:pPr>
    </w:p>
    <w:p>
      <w:pPr>
        <w:pStyle w:val="Heading2"/>
        <w:spacing w:after="120" w:before="280"/>
      </w:pPr>
      <w:r>
        <w:t xml:space="preserve">3.6  Ratios</w:t>
      </w:r>
    </w:p>
    <w:p>
      <w:pPr>
        <w:spacing w:after="120"/>
      </w:pPr>
      <w:r>
        <w:rPr>
          <w:b w:val="false"/>
          <w:bCs w:val="false"/>
          <w:i w:val="false"/>
          <w:iCs w:val="false"/>
          <w:sz w:val="20"/>
          <w:szCs w:val="20"/>
        </w:rPr>
        <w:t xml:space="preserve">Fifteen ratios, all recomputed from the finished statements on every run. Note that the day-count ratios always divide by 365 — they do NOT use the model's "days in period" setting, even though the balance sheet does.</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300"/>
        <w:gridCol w:w="3700"/>
        <w:gridCol w:w="3360"/>
      </w:tblGrid>
      <w:tr>
        <w:trPr>
          <w:tblHeader/>
        </w:trPr>
        <w:tc>
          <w:tcPr>
            <w:tcW w:type="dxa" w:w="2300"/>
            <w:shd w:fill="1F3864" w:val="clear"/>
            <w:tcMar>
              <w:top w:type="dxa" w:w="70"/>
              <w:left w:type="dxa" w:w="110"/>
              <w:bottom w:type="dxa" w:w="70"/>
              <w:right w:type="dxa" w:w="110"/>
            </w:tcMar>
          </w:tcPr>
          <w:p>
            <w:pPr>
              <w:spacing w:after="0"/>
            </w:pPr>
            <w:r>
              <w:rPr>
                <w:b/>
                <w:bCs/>
                <w:i w:val="false"/>
                <w:iCs w:val="false"/>
                <w:color w:val="FFFFFF"/>
                <w:sz w:val="18"/>
                <w:szCs w:val="18"/>
              </w:rPr>
              <w:t xml:space="preserve">Ratio</w:t>
            </w:r>
          </w:p>
        </w:tc>
        <w:tc>
          <w:tcPr>
            <w:tcW w:type="dxa" w:w="3700"/>
            <w:shd w:fill="1F3864" w:val="clear"/>
            <w:tcMar>
              <w:top w:type="dxa" w:w="70"/>
              <w:left w:type="dxa" w:w="110"/>
              <w:bottom w:type="dxa" w:w="70"/>
              <w:right w:type="dxa" w:w="110"/>
            </w:tcMar>
          </w:tcPr>
          <w:p>
            <w:pPr>
              <w:spacing w:after="0"/>
            </w:pPr>
            <w:r>
              <w:rPr>
                <w:b/>
                <w:bCs/>
                <w:i w:val="false"/>
                <w:iCs w:val="false"/>
                <w:color w:val="FFFFFF"/>
                <w:sz w:val="18"/>
                <w:szCs w:val="18"/>
              </w:rPr>
              <w:t xml:space="preserve">Formula</w:t>
            </w:r>
          </w:p>
        </w:tc>
        <w:tc>
          <w:tcPr>
            <w:tcW w:type="dxa" w:w="33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w:t>
            </w:r>
          </w:p>
        </w:tc>
      </w:tr>
      <w:tr>
        <w:tc>
          <w:tcPr>
            <w:tcW w:type="dxa" w:w="23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Gross margin %</w:t>
            </w:r>
          </w:p>
        </w:tc>
        <w:tc>
          <w:tcPr>
            <w:tcW w:type="dxa" w:w="3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gross profit ÷ total revenue</w:t>
            </w:r>
          </w:p>
        </w:tc>
        <w:tc>
          <w:tcPr>
            <w:tcW w:type="dxa" w:w="33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700,000 ÷ 1,400,000 = 50.0%</w:t>
            </w:r>
          </w:p>
        </w:tc>
      </w:tr>
      <w:tr>
        <w:tc>
          <w:tcPr>
            <w:tcW w:type="dxa" w:w="23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EBITDA margin %</w:t>
            </w:r>
          </w:p>
        </w:tc>
        <w:tc>
          <w:tcPr>
            <w:tcW w:type="dxa" w:w="3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EBITDA ÷ total revenue</w:t>
            </w:r>
          </w:p>
        </w:tc>
        <w:tc>
          <w:tcPr>
            <w:tcW w:type="dxa" w:w="33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530,000 ÷ 1,400,000 = 37.9%</w:t>
            </w:r>
          </w:p>
        </w:tc>
      </w:tr>
      <w:tr>
        <w:tc>
          <w:tcPr>
            <w:tcW w:type="dxa" w:w="23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Net margin %</w:t>
            </w:r>
          </w:p>
        </w:tc>
        <w:tc>
          <w:tcPr>
            <w:tcW w:type="dxa" w:w="3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net profit ÷ total revenue</w:t>
            </w:r>
          </w:p>
        </w:tc>
        <w:tc>
          <w:tcPr>
            <w:tcW w:type="dxa" w:w="33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411,500 ÷ 1,400,000 = 29.4%</w:t>
            </w:r>
          </w:p>
        </w:tc>
      </w:tr>
      <w:tr>
        <w:tc>
          <w:tcPr>
            <w:tcW w:type="dxa" w:w="23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Days sales outstanding</w:t>
            </w:r>
          </w:p>
        </w:tc>
        <w:tc>
          <w:tcPr>
            <w:tcW w:type="dxa" w:w="3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receivables ÷ total revenue × 365</w:t>
            </w:r>
          </w:p>
        </w:tc>
        <w:tc>
          <w:tcPr>
            <w:tcW w:type="dxa" w:w="33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90,411 ÷ 1,100,000 × 365 = 30.0 days</w:t>
            </w:r>
          </w:p>
        </w:tc>
      </w:tr>
      <w:tr>
        <w:tc>
          <w:tcPr>
            <w:tcW w:type="dxa" w:w="23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Days inventory outstanding</w:t>
            </w:r>
          </w:p>
        </w:tc>
        <w:tc>
          <w:tcPr>
            <w:tcW w:type="dxa" w:w="3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inventory ÷ |cost of sales| × 365</w:t>
            </w:r>
          </w:p>
        </w:tc>
        <w:tc>
          <w:tcPr>
            <w:tcW w:type="dxa" w:w="33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57,534 ÷ 700,000 × 365 = 30.0 days</w:t>
            </w:r>
          </w:p>
        </w:tc>
      </w:tr>
      <w:tr>
        <w:tc>
          <w:tcPr>
            <w:tcW w:type="dxa" w:w="23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Days payables outstanding</w:t>
            </w:r>
          </w:p>
        </w:tc>
        <w:tc>
          <w:tcPr>
            <w:tcW w:type="dxa" w:w="3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payables ÷ |cost of sales| × 365</w:t>
            </w:r>
          </w:p>
        </w:tc>
        <w:tc>
          <w:tcPr>
            <w:tcW w:type="dxa" w:w="33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57,534 ÷ 700,000 × 365 = 30.0 days</w:t>
            </w:r>
          </w:p>
        </w:tc>
      </w:tr>
      <w:tr>
        <w:tc>
          <w:tcPr>
            <w:tcW w:type="dxa" w:w="23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Cash conversion cycle</w:t>
            </w:r>
          </w:p>
        </w:tc>
        <w:tc>
          <w:tcPr>
            <w:tcW w:type="dxa" w:w="3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DSO + DIO − DPO</w:t>
            </w:r>
          </w:p>
        </w:tc>
        <w:tc>
          <w:tcPr>
            <w:tcW w:type="dxa" w:w="33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30 + 30 − 30 = 30.0 days</w:t>
            </w:r>
          </w:p>
        </w:tc>
      </w:tr>
      <w:tr>
        <w:tc>
          <w:tcPr>
            <w:tcW w:type="dxa" w:w="23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Current ratio</w:t>
            </w:r>
          </w:p>
        </w:tc>
        <w:tc>
          <w:tcPr>
            <w:tcW w:type="dxa" w:w="3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total current assets ÷ total current liabilities</w:t>
            </w:r>
          </w:p>
        </w:tc>
        <w:tc>
          <w:tcPr>
            <w:tcW w:type="dxa" w:w="33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250,000 ÷ 125,000 = 2.00</w:t>
            </w:r>
          </w:p>
        </w:tc>
      </w:tr>
      <w:tr>
        <w:tc>
          <w:tcPr>
            <w:tcW w:type="dxa" w:w="23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Quick ratio</w:t>
            </w:r>
          </w:p>
        </w:tc>
        <w:tc>
          <w:tcPr>
            <w:tcW w:type="dxa" w:w="3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(total current assets − inventory) ÷ total current liabilities</w:t>
            </w:r>
          </w:p>
        </w:tc>
        <w:tc>
          <w:tcPr>
            <w:tcW w:type="dxa" w:w="33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(250,000 − 50,000) ÷ 125,000 = 1.60</w:t>
            </w:r>
          </w:p>
        </w:tc>
      </w:tr>
      <w:tr>
        <w:tc>
          <w:tcPr>
            <w:tcW w:type="dxa" w:w="23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Net debt</w:t>
            </w:r>
          </w:p>
        </w:tc>
        <w:tc>
          <w:tcPr>
            <w:tcW w:type="dxa" w:w="3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short-term debt &amp; revolver + long-term debt − cash</w:t>
            </w:r>
          </w:p>
        </w:tc>
        <w:tc>
          <w:tcPr>
            <w:tcW w:type="dxa" w:w="33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15,000 + 42,000 − 25,000 = 32,000</w:t>
            </w:r>
          </w:p>
        </w:tc>
      </w:tr>
      <w:tr>
        <w:tc>
          <w:tcPr>
            <w:tcW w:type="dxa" w:w="23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Net debt / EBITDA</w:t>
            </w:r>
          </w:p>
        </w:tc>
        <w:tc>
          <w:tcPr>
            <w:tcW w:type="dxa" w:w="3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net debt ÷ EBITDA</w:t>
            </w:r>
          </w:p>
        </w:tc>
        <w:tc>
          <w:tcPr>
            <w:tcW w:type="dxa" w:w="33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32,000 ÷ 530,000 = 0.06</w:t>
            </w:r>
          </w:p>
        </w:tc>
      </w:tr>
      <w:tr>
        <w:tc>
          <w:tcPr>
            <w:tcW w:type="dxa" w:w="23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Interest cover (x)</w:t>
            </w:r>
          </w:p>
        </w:tc>
        <w:tc>
          <w:tcPr>
            <w:tcW w:type="dxa" w:w="3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EBIT ÷ interest expense</w:t>
            </w:r>
          </w:p>
        </w:tc>
        <w:tc>
          <w:tcPr>
            <w:tcW w:type="dxa" w:w="33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474,000 ÷ 60,000 = 7.90</w:t>
            </w:r>
          </w:p>
        </w:tc>
      </w:tr>
      <w:tr>
        <w:tc>
          <w:tcPr>
            <w:tcW w:type="dxa" w:w="23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Return on equity %</w:t>
            </w:r>
          </w:p>
        </w:tc>
        <w:tc>
          <w:tcPr>
            <w:tcW w:type="dxa" w:w="3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net profit ÷ total equity</w:t>
            </w:r>
          </w:p>
        </w:tc>
        <w:tc>
          <w:tcPr>
            <w:tcW w:type="dxa" w:w="33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411,500 ÷ 4,115,000 = 10.0%</w:t>
            </w:r>
          </w:p>
        </w:tc>
      </w:tr>
      <w:tr>
        <w:tc>
          <w:tcPr>
            <w:tcW w:type="dxa" w:w="23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Return on assets %</w:t>
            </w:r>
          </w:p>
        </w:tc>
        <w:tc>
          <w:tcPr>
            <w:tcW w:type="dxa" w:w="3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net profit ÷ total assets</w:t>
            </w:r>
          </w:p>
        </w:tc>
        <w:tc>
          <w:tcPr>
            <w:tcW w:type="dxa" w:w="33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411,500 ÷ 8,230,000 = 5.0%</w:t>
            </w:r>
          </w:p>
        </w:tc>
      </w:tr>
      <w:tr>
        <w:tc>
          <w:tcPr>
            <w:tcW w:type="dxa" w:w="23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Free cash flow</w:t>
            </w:r>
          </w:p>
        </w:tc>
        <w:tc>
          <w:tcPr>
            <w:tcW w:type="dxa" w:w="3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CFO + CFI  (CFI is already negative)</w:t>
            </w:r>
          </w:p>
        </w:tc>
        <w:tc>
          <w:tcPr>
            <w:tcW w:type="dxa" w:w="33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461,500 − 150,000 = 311,500</w:t>
            </w:r>
          </w:p>
        </w:tc>
      </w:tr>
    </w:tbl>
    <w:p>
      <w:pPr>
        <w:spacing w:after="80"/>
      </w:pPr>
    </w:p>
    <w:p>
      <w:pPr>
        <w:spacing w:after="120"/>
      </w:pPr>
      <w:r>
        <w:rPr>
          <w:b w:val="false"/>
          <w:bCs w:val="false"/>
          <w:i/>
          <w:iCs/>
          <w:sz w:val="20"/>
          <w:szCs w:val="20"/>
        </w:rPr>
        <w:t xml:space="preserve">Every one of these divides by zero safely: when the denominator is zero the ratio is reported as 0, not as an error or infinity. On the display side a ratio whose magnitude exceeds 1,000,000 is shown as an em dash.</w:t>
      </w:r>
    </w:p>
    <w:p>
      <w:pPr>
        <w:spacing w:after="120"/>
      </w:pPr>
    </w:p>
    <w:p>
      <w:pPr>
        <w:pStyle w:val="Heading2"/>
        <w:spacing w:after="120" w:before="280"/>
      </w:pPr>
      <w:r>
        <w:t xml:space="preserve">3.7  Business-unit allocation</w:t>
      </w:r>
    </w:p>
    <w:p>
      <w:pPr>
        <w:pStyle w:val="Heading3"/>
        <w:spacing w:after="100" w:before="220"/>
      </w:pPr>
      <w:r>
        <w:t xml:space="preserve">30.  The allocation share</w:t>
      </w:r>
    </w:p>
    <w:p>
      <w:pPr>
        <w:spacing w:after="120"/>
      </w:pPr>
      <w:r>
        <w:rPr>
          <w:b w:val="false"/>
          <w:bCs w:val="false"/>
          <w:i w:val="false"/>
          <w:iCs w:val="false"/>
          <w:sz w:val="20"/>
          <w:szCs w:val="20"/>
        </w:rPr>
        <w:t xml:space="preserve">When one business unit is viewed, everything below EBIT is the group figure multiplied by that unit's share.</w:t>
      </w:r>
    </w:p>
    <w:p>
      <w:pPr>
        <w:shd w:fill="F7F9FC" w:val="clear"/>
        <w:spacing w:after="40" w:before="40"/>
        <w:ind w:left="260"/>
      </w:pPr>
      <w:r>
        <w:rPr>
          <w:rFonts w:ascii="Consolas" w:cs="Consolas" w:eastAsia="Consolas" w:hAnsi="Consolas"/>
          <w:sz w:val="18"/>
          <w:szCs w:val="18"/>
        </w:rPr>
        <w:t xml:space="preserve">allocation = unitLastActualRevenue ÷ groupLastActualRevenue</w:t>
      </w:r>
    </w:p>
    <w:p>
      <w:pPr>
        <w:shd w:fill="F7F9FC" w:val="clear"/>
        <w:spacing w:after="40" w:before="40"/>
        <w:ind w:left="260"/>
      </w:pPr>
      <w:r>
        <w:rPr>
          <w:rFonts w:ascii="Consolas" w:cs="Consolas" w:eastAsia="Consolas" w:hAnsi="Consolas"/>
          <w:sz w:val="18"/>
          <w:szCs w:val="18"/>
        </w:rPr>
        <w:t xml:space="preserve"/>
      </w:r>
    </w:p>
    <w:p>
      <w:pPr>
        <w:shd w:fill="F7F9FC" w:val="clear"/>
        <w:spacing w:after="40" w:before="40"/>
        <w:ind w:left="260"/>
      </w:pPr>
      <w:r>
        <w:rPr>
          <w:rFonts w:ascii="Consolas" w:cs="Consolas" w:eastAsia="Consolas" w:hAnsi="Consolas"/>
          <w:sz w:val="18"/>
          <w:szCs w:val="18"/>
        </w:rPr>
        <w:t xml:space="preserve">if group last-actual revenue is zero:</w:t>
      </w:r>
    </w:p>
    <w:p>
      <w:pPr>
        <w:shd w:fill="F7F9FC" w:val="clear"/>
        <w:spacing w:after="40" w:before="40"/>
        <w:ind w:left="260"/>
      </w:pPr>
      <w:r>
        <w:rPr>
          <w:rFonts w:ascii="Consolas" w:cs="Consolas" w:eastAsia="Consolas" w:hAnsi="Consolas"/>
          <w:sz w:val="18"/>
          <w:szCs w:val="18"/>
        </w:rPr>
        <w:t xml:space="preserve">        allocation = unitsInScope ÷ totalUnits</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Last actual year revenue per unit (step 4).</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Group last-actual revenue 1,000,000, of which this unit earned 300,000 → allocation 30%. Group zakat of 12,500 appears as 3,750 in that unit's view. Because the shares sum to 1, the units add back exactly to the group.</w:t>
            </w:r>
          </w:p>
        </w:tc>
      </w:tr>
    </w:tbl>
    <w:p>
      <w:pPr>
        <w:spacing w:after="60"/>
      </w:pPr>
    </w:p>
    <w:p>
      <w:pPr>
        <w:spacing w:after="120"/>
      </w:pPr>
      <w:r>
        <w:rPr>
          <w:b w:val="false"/>
          <w:bCs w:val="false"/>
          <w:i/>
          <w:iCs/>
          <w:sz w:val="19"/>
          <w:szCs w:val="19"/>
        </w:rPr>
        <w:t xml:space="preserve">The allocation is also applied to the opening balance sheet, the minimum cash policy, other current assets and liabilities, provisions, debt balances and schedules — so a single-unit view does not sit on the whole entity's balance sheet.</w:t>
      </w:r>
    </w:p>
    <w:p>
      <w:pPr>
        <w:spacing w:after="100"/>
      </w:pPr>
    </w:p>
    <w:p>
      <w:pPr>
        <w:pStyle w:val="Heading3"/>
        <w:spacing w:after="100" w:before="220"/>
      </w:pPr>
      <w:r>
        <w:t xml:space="preserve">31.  Due to / (from) group treasury</w:t>
      </w:r>
    </w:p>
    <w:p>
      <w:pPr>
        <w:spacing w:after="120"/>
      </w:pPr>
      <w:r>
        <w:rPr>
          <w:b w:val="false"/>
          <w:bCs w:val="false"/>
          <w:i w:val="false"/>
          <w:iCs w:val="false"/>
          <w:sz w:val="20"/>
          <w:szCs w:val="20"/>
        </w:rPr>
        <w:t xml:space="preserve">The plug that keeps a segment view balanced when its own cash flows differ from its allocated share of pooled cash.</w:t>
      </w:r>
    </w:p>
    <w:p>
      <w:pPr>
        <w:shd w:fill="F7F9FC" w:val="clear"/>
        <w:spacing w:after="40" w:before="40"/>
        <w:ind w:left="260"/>
      </w:pPr>
      <w:r>
        <w:rPr>
          <w:rFonts w:ascii="Consolas" w:cs="Consolas" w:eastAsia="Consolas" w:hAnsi="Consolas"/>
          <w:sz w:val="18"/>
          <w:szCs w:val="18"/>
        </w:rPr>
        <w:t xml:space="preserve">treasuryTransfer[t] = allocatedGroupCash[t] − (openingCash + CFO + CFI + CFF)</w:t>
      </w:r>
    </w:p>
    <w:p>
      <w:pPr>
        <w:shd w:fill="F7F9FC" w:val="clear"/>
        <w:spacing w:after="40" w:before="40"/>
        <w:ind w:left="260"/>
      </w:pPr>
      <w:r>
        <w:rPr>
          <w:rFonts w:ascii="Consolas" w:cs="Consolas" w:eastAsia="Consolas" w:hAnsi="Consolas"/>
          <w:sz w:val="18"/>
          <w:szCs w:val="18"/>
        </w:rPr>
        <w:t xml:space="preserve">dueToGroup[t]       = dueToGroup[t−1] + treasuryTransfer[t]</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group run of the engine; the segment's own flows.</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unit whose own flows imply 8,000,000 of cash but whose allocated share of group cash is 10,000,000 carries a 2,000,000 balance due to group treasury. These balances net to zero across all the units, so the group is unaffected.</w:t>
            </w:r>
          </w:p>
        </w:tc>
      </w:tr>
    </w:tbl>
    <w:p>
      <w:pPr>
        <w:spacing w:after="60"/>
      </w:pPr>
    </w:p>
    <w:p>
      <w:pPr>
        <w:spacing w:after="120"/>
      </w:pPr>
      <w:r>
        <w:rPr>
          <w:b w:val="false"/>
          <w:bCs w:val="false"/>
          <w:i/>
          <w:iCs/>
          <w:sz w:val="19"/>
          <w:szCs w:val="19"/>
        </w:rPr>
        <w:t xml:space="preserve">This line is always zero in a group view. Seeing a non-zero figure at group level would be a defect.</w:t>
      </w:r>
    </w:p>
    <w:p>
      <w:pPr>
        <w:spacing w:after="100"/>
      </w:pPr>
    </w:p>
    <w:p>
      <w:pPr>
        <w:pStyle w:val="Heading2"/>
        <w:spacing w:after="120" w:before="280"/>
      </w:pPr>
      <w:r>
        <w:t xml:space="preserve">3.8  Investment appraisal</w:t>
      </w:r>
    </w:p>
    <w:p>
      <w:pPr>
        <w:pStyle w:val="Heading3"/>
        <w:spacing w:after="100" w:before="220"/>
      </w:pPr>
      <w:r>
        <w:t xml:space="preserve">32.  Net present value (NPV)</w:t>
      </w:r>
    </w:p>
    <w:p>
      <w:pPr>
        <w:spacing w:after="120"/>
      </w:pPr>
      <w:r>
        <w:rPr>
          <w:b w:val="false"/>
          <w:bCs w:val="false"/>
          <w:i w:val="false"/>
          <w:iCs w:val="false"/>
          <w:sz w:val="20"/>
          <w:szCs w:val="20"/>
        </w:rPr>
        <w:t xml:space="preserve">Value created, in today's money. Note the convention: the first forecast year is discounted ONCE — there is no period zero, because every period is a full year of trading.</w:t>
      </w:r>
    </w:p>
    <w:p>
      <w:pPr>
        <w:shd w:fill="F7F9FC" w:val="clear"/>
        <w:spacing w:after="40" w:before="40"/>
        <w:ind w:left="260"/>
      </w:pPr>
      <w:r>
        <w:rPr>
          <w:rFonts w:ascii="Consolas" w:cs="Consolas" w:eastAsia="Consolas" w:hAnsi="Consolas"/>
          <w:sz w:val="18"/>
          <w:szCs w:val="18"/>
        </w:rPr>
        <w:t xml:space="preserve">NPV = Σ  cashFlow[i] ÷ (1 + rate)^(i+1)      for i = 0, 1, 2 …</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initiative's free cash flow (EBITDA contribution − capex) per year; the discount rate.</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Flows of 100 in each of three years at 10%: 100÷1.1 + 100÷1.21 + 100÷1.331 = 90.91 + 82.64 + 75.13 = 248.69.</w:t>
            </w:r>
          </w:p>
        </w:tc>
      </w:tr>
    </w:tbl>
    <w:p>
      <w:pPr>
        <w:spacing w:after="60"/>
      </w:pPr>
    </w:p>
    <w:p>
      <w:pPr>
        <w:spacing w:after="120"/>
      </w:pPr>
      <w:r>
        <w:rPr>
          <w:b w:val="false"/>
          <w:bCs w:val="false"/>
          <w:i/>
          <w:iCs/>
          <w:sz w:val="19"/>
          <w:szCs w:val="19"/>
        </w:rPr>
        <w:t xml:space="preserve">Depreciation is deliberately absent from the flow — it is not cash, and the capital that caused it is already in the series at full cost.</w:t>
      </w:r>
    </w:p>
    <w:p>
      <w:pPr>
        <w:spacing w:after="100"/>
      </w:pPr>
    </w:p>
    <w:p>
      <w:pPr>
        <w:pStyle w:val="Heading3"/>
        <w:spacing w:after="100" w:before="220"/>
      </w:pPr>
      <w:r>
        <w:t xml:space="preserve">33.  Discount rate</w:t>
      </w:r>
    </w:p>
    <w:p>
      <w:pPr>
        <w:spacing w:after="120"/>
      </w:pPr>
      <w:r>
        <w:rPr>
          <w:b w:val="false"/>
          <w:bCs w:val="false"/>
          <w:i w:val="false"/>
          <w:iCs w:val="false"/>
          <w:sz w:val="20"/>
          <w:szCs w:val="20"/>
        </w:rPr>
        <w:t xml:space="preserve">Taken from the model's own cost of money rather than invented.</w:t>
      </w:r>
    </w:p>
    <w:p>
      <w:pPr>
        <w:shd w:fill="F7F9FC" w:val="clear"/>
        <w:spacing w:after="40" w:before="40"/>
        <w:ind w:left="260"/>
      </w:pPr>
      <w:r>
        <w:rPr>
          <w:rFonts w:ascii="Consolas" w:cs="Consolas" w:eastAsia="Consolas" w:hAnsi="Consolas"/>
          <w:sz w:val="18"/>
          <w:szCs w:val="18"/>
        </w:rPr>
        <w:t xml:space="preserve">discountRate = max( 0.08, revolverRate )</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Revolver rate (step 7 panel C).</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revolver rate of 7.5% gives a discount rate of 8% (the floor). A revolver rate of 12% gives 12%.</w:t>
            </w:r>
          </w:p>
        </w:tc>
      </w:tr>
    </w:tbl>
    <w:p>
      <w:pPr>
        <w:spacing w:after="60"/>
      </w:pPr>
    </w:p>
    <w:p>
      <w:pPr>
        <w:spacing w:after="120"/>
      </w:pPr>
      <w:r>
        <w:rPr>
          <w:b w:val="false"/>
          <w:bCs w:val="false"/>
          <w:i/>
          <w:iCs/>
          <w:sz w:val="19"/>
          <w:szCs w:val="19"/>
        </w:rPr>
        <w:t xml:space="preserve">The 8% floor stops a model with no financing from discounting at zero and reporting every project as attractive.</w:t>
      </w:r>
    </w:p>
    <w:p>
      <w:pPr>
        <w:spacing w:after="100"/>
      </w:pPr>
    </w:p>
    <w:p>
      <w:pPr>
        <w:pStyle w:val="Heading3"/>
        <w:spacing w:after="100" w:before="220"/>
      </w:pPr>
      <w:r>
        <w:t xml:space="preserve">34.  Internal rate of return (IRR)</w:t>
      </w:r>
    </w:p>
    <w:p>
      <w:pPr>
        <w:spacing w:after="120"/>
      </w:pPr>
      <w:r>
        <w:rPr>
          <w:b w:val="false"/>
          <w:bCs w:val="false"/>
          <w:i w:val="false"/>
          <w:iCs w:val="false"/>
          <w:sz w:val="20"/>
          <w:szCs w:val="20"/>
        </w:rPr>
        <w:t xml:space="preserve">The discount rate at which NPV is exactly zero. Solved by bisection between −99.99% and 1000%.</w:t>
      </w:r>
    </w:p>
    <w:p>
      <w:pPr>
        <w:shd w:fill="F7F9FC" w:val="clear"/>
        <w:spacing w:after="40" w:before="40"/>
        <w:ind w:left="260"/>
      </w:pPr>
      <w:r>
        <w:rPr>
          <w:rFonts w:ascii="Consolas" w:cs="Consolas" w:eastAsia="Consolas" w:hAnsi="Consolas"/>
          <w:sz w:val="18"/>
          <w:szCs w:val="18"/>
        </w:rPr>
        <w:t xml:space="preserve">find rate such that NPV(rate, flows) = 0</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same free cash flow series as NPV.</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Flows −1,000, 500, 400, 300: the IRR is roughly 8.9%. An initiative with no outlay at all — one that only removes cost — has no IRR and correctly shows a dash.</w:t>
            </w:r>
          </w:p>
        </w:tc>
      </w:tr>
    </w:tbl>
    <w:p>
      <w:pPr>
        <w:spacing w:after="60"/>
      </w:pPr>
    </w:p>
    <w:p>
      <w:pPr>
        <w:spacing w:after="120"/>
      </w:pPr>
      <w:r>
        <w:rPr>
          <w:b w:val="false"/>
          <w:bCs w:val="false"/>
          <w:i/>
          <w:iCs/>
          <w:sz w:val="19"/>
          <w:szCs w:val="19"/>
        </w:rPr>
        <w:t xml:space="preserve">Returns nothing (a dash on screen) when every flow has the same sign, when there are fewer than two flows, or when the root lies outside the search range. A number would be worse than nothing here.</w:t>
      </w:r>
    </w:p>
    <w:p>
      <w:pPr>
        <w:spacing w:after="100"/>
      </w:pPr>
    </w:p>
    <w:p>
      <w:pPr>
        <w:pStyle w:val="Heading3"/>
        <w:spacing w:after="100" w:before="220"/>
      </w:pPr>
      <w:r>
        <w:t xml:space="preserve">35.  Payback period</w:t>
      </w:r>
    </w:p>
    <w:p>
      <w:pPr>
        <w:spacing w:after="120"/>
      </w:pPr>
      <w:r>
        <w:rPr>
          <w:b w:val="false"/>
          <w:bCs w:val="false"/>
          <w:i w:val="false"/>
          <w:iCs w:val="false"/>
          <w:sz w:val="20"/>
          <w:szCs w:val="20"/>
        </w:rPr>
        <w:t xml:space="preserve">How many years until the cumulative cash flow first turns positive, interpolated within the year it completes.</w:t>
      </w:r>
    </w:p>
    <w:p>
      <w:pPr>
        <w:shd w:fill="F7F9FC" w:val="clear"/>
        <w:spacing w:after="40" w:before="40"/>
        <w:ind w:left="260"/>
      </w:pPr>
      <w:r>
        <w:rPr>
          <w:rFonts w:ascii="Consolas" w:cs="Consolas" w:eastAsia="Consolas" w:hAnsi="Consolas"/>
          <w:sz w:val="18"/>
          <w:szCs w:val="18"/>
        </w:rPr>
        <w:t xml:space="preserve">find the first year where cumulative flips from negative to positive</w:t>
      </w:r>
    </w:p>
    <w:p>
      <w:pPr>
        <w:shd w:fill="F7F9FC" w:val="clear"/>
        <w:spacing w:after="40" w:before="40"/>
        <w:ind w:left="260"/>
      </w:pPr>
      <w:r>
        <w:rPr>
          <w:rFonts w:ascii="Consolas" w:cs="Consolas" w:eastAsia="Consolas" w:hAnsi="Consolas"/>
          <w:sz w:val="18"/>
          <w:szCs w:val="18"/>
        </w:rPr>
        <w:t xml:space="preserve">payback = yearIndex + ( −cumulativeBefore ÷ flowThatYear )</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same free cash flow series.</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Flows −1,000, 500, 400, 300. Cumulative: −1,000, −500, −100, +200. It turns positive in the fourth flow (index 3), where 100 of the 300 was needed → payback = 3 + (100 ÷ 300) = 3.33 years.</w:t>
            </w:r>
          </w:p>
        </w:tc>
      </w:tr>
    </w:tbl>
    <w:p>
      <w:pPr>
        <w:spacing w:after="60"/>
      </w:pPr>
    </w:p>
    <w:p>
      <w:pPr>
        <w:spacing w:after="120"/>
      </w:pPr>
      <w:r>
        <w:rPr>
          <w:b w:val="false"/>
          <w:bCs w:val="false"/>
          <w:i/>
          <w:iCs/>
          <w:sz w:val="19"/>
          <w:szCs w:val="19"/>
        </w:rPr>
        <w:t xml:space="preserve">The textbook answer for this series is 2.33, because textbooks assume the outlay happens at t=0. This model has no period zero: an outlay in year 1 is spent DURING year 1. Returns nothing when the flow never turns positive.</w:t>
      </w:r>
    </w:p>
    <w:p>
      <w:pPr>
        <w:spacing w:after="100"/>
      </w:pPr>
    </w:p>
    <w:p>
      <w:pPr>
        <w:pStyle w:val="Heading3"/>
        <w:spacing w:after="100" w:before="220"/>
      </w:pPr>
      <w:r>
        <w:t xml:space="preserve">36.  Profitability index</w:t>
      </w:r>
    </w:p>
    <w:p>
      <w:pPr>
        <w:spacing w:after="120"/>
      </w:pPr>
      <w:r>
        <w:rPr>
          <w:b w:val="false"/>
          <w:bCs w:val="false"/>
          <w:i w:val="false"/>
          <w:iCs w:val="false"/>
          <w:sz w:val="20"/>
          <w:szCs w:val="20"/>
        </w:rPr>
        <w:t xml:space="preserve">Value created per unit of capital committed.</w:t>
      </w:r>
    </w:p>
    <w:p>
      <w:pPr>
        <w:shd w:fill="F7F9FC" w:val="clear"/>
        <w:spacing w:after="40" w:before="40"/>
        <w:ind w:left="260"/>
      </w:pPr>
      <w:r>
        <w:rPr>
          <w:rFonts w:ascii="Consolas" w:cs="Consolas" w:eastAsia="Consolas" w:hAnsi="Consolas"/>
          <w:sz w:val="18"/>
          <w:szCs w:val="18"/>
        </w:rPr>
        <w:t xml:space="preserve">profitabilityIndex = ( NPV + totalCapex ) ÷ totalCapex</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NPV (formula 32); total initiative capex.</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NPV 250 on capex of 1,000 → (250 + 1,000) ÷ 1,000 = 1.25. Undefined, and shown as a dash, for an initiative with no outlay.</w:t>
            </w:r>
          </w:p>
        </w:tc>
      </w:tr>
    </w:tbl>
    <w:p>
      <w:pPr>
        <w:spacing w:after="100"/>
      </w:pPr>
    </w:p>
    <w:p>
      <w:pPr>
        <w:pStyle w:val="Heading3"/>
        <w:spacing w:after="100" w:before="220"/>
      </w:pPr>
      <w:r>
        <w:t xml:space="preserve">37.  Break-even revenue</w:t>
      </w:r>
    </w:p>
    <w:p>
      <w:pPr>
        <w:spacing w:after="120"/>
      </w:pPr>
      <w:r>
        <w:rPr>
          <w:b w:val="false"/>
          <w:bCs w:val="false"/>
          <w:i w:val="false"/>
          <w:iCs w:val="false"/>
          <w:sz w:val="20"/>
          <w:szCs w:val="20"/>
        </w:rPr>
        <w:t xml:space="preserve">The revenue at which the operating result is nil. Measured on the group at the LAST forecast year — the point the plan is arguing for.</w:t>
      </w:r>
    </w:p>
    <w:p>
      <w:pPr>
        <w:shd w:fill="F7F9FC" w:val="clear"/>
        <w:spacing w:after="40" w:before="40"/>
        <w:ind w:left="260"/>
      </w:pPr>
      <w:r>
        <w:rPr>
          <w:rFonts w:ascii="Consolas" w:cs="Consolas" w:eastAsia="Consolas" w:hAnsi="Consolas"/>
          <w:sz w:val="18"/>
          <w:szCs w:val="18"/>
        </w:rPr>
        <w:t xml:space="preserve">contributionMargin = ( revenue − variableCost ) ÷ revenue</w:t>
      </w:r>
    </w:p>
    <w:p>
      <w:pPr>
        <w:shd w:fill="F7F9FC" w:val="clear"/>
        <w:spacing w:after="40" w:before="40"/>
        <w:ind w:left="260"/>
      </w:pPr>
      <w:r>
        <w:rPr>
          <w:rFonts w:ascii="Consolas" w:cs="Consolas" w:eastAsia="Consolas" w:hAnsi="Consolas"/>
          <w:sz w:val="18"/>
          <w:szCs w:val="18"/>
        </w:rPr>
        <w:t xml:space="preserve">breakEvenRevenue   = fixedCost ÷ contributionMargin</w:t>
      </w:r>
    </w:p>
    <w:p>
      <w:pPr>
        <w:shd w:fill="F7F9FC" w:val="clear"/>
        <w:spacing w:after="40" w:before="40"/>
        <w:ind w:left="260"/>
      </w:pPr>
      <w:r>
        <w:rPr>
          <w:rFonts w:ascii="Consolas" w:cs="Consolas" w:eastAsia="Consolas" w:hAnsi="Consolas"/>
          <w:sz w:val="18"/>
          <w:szCs w:val="18"/>
        </w:rPr>
        <w:t xml:space="preserve">marginOfSafety     = ( revenue − breakEvenRevenue ) ÷ revenue</w:t>
      </w:r>
    </w:p>
    <w:p>
      <w:pPr>
        <w:shd w:fill="F7F9FC" w:val="clear"/>
        <w:spacing w:after="40" w:before="40"/>
        <w:ind w:left="260"/>
      </w:pPr>
      <w:r>
        <w:rPr>
          <w:rFonts w:ascii="Consolas" w:cs="Consolas" w:eastAsia="Consolas" w:hAnsi="Consolas"/>
          <w:sz w:val="18"/>
          <w:szCs w:val="18"/>
        </w:rPr>
        <w:t xml:space="preserve">headroom           = revenue − breakEvenRevenue</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Final-year revenue; variable cost = |cost of sales|; fixed cost = |S&amp;D| + |G&amp;A| + depreciation.</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Revenue 1,000,000; variable cost 600,000; fixed cost 300,000. Contribution margin = 400,000 ÷ 1,000,000 = 40%. Break-even = 300,000 ÷ 0.40 = 750,000. Margin of safety = 25%. Headroom = 250,000.</w:t>
            </w:r>
          </w:p>
        </w:tc>
      </w:tr>
    </w:tbl>
    <w:p>
      <w:pPr>
        <w:spacing w:after="60"/>
      </w:pPr>
    </w:p>
    <w:p>
      <w:pPr>
        <w:spacing w:after="120"/>
      </w:pPr>
      <w:r>
        <w:rPr>
          <w:b w:val="false"/>
          <w:bCs w:val="false"/>
          <w:i/>
          <w:iCs/>
          <w:sz w:val="19"/>
          <w:szCs w:val="19"/>
        </w:rPr>
        <w:t xml:space="preserve">Returns nothing when revenue is nil or the contribution margin is zero or negative — at that point no volume breaks even, and a large number would read as an achievable target.</w:t>
      </w:r>
    </w:p>
    <w:p>
      <w:pPr>
        <w:spacing w:after="100"/>
      </w:pPr>
    </w:p>
    <w:p>
      <w:pPr>
        <w:pStyle w:val="Heading2"/>
        <w:spacing w:after="120" w:before="280"/>
      </w:pPr>
      <w:r>
        <w:t xml:space="preserve">3.9  Sensitivity, trend and currency</w:t>
      </w:r>
    </w:p>
    <w:p>
      <w:pPr>
        <w:pStyle w:val="Heading3"/>
        <w:spacing w:after="100" w:before="220"/>
      </w:pPr>
      <w:r>
        <w:t xml:space="preserve">38.  Sensitivity flex</w:t>
      </w:r>
    </w:p>
    <w:p>
      <w:pPr>
        <w:spacing w:after="120"/>
      </w:pPr>
      <w:r>
        <w:rPr>
          <w:b w:val="false"/>
          <w:bCs w:val="false"/>
          <w:i w:val="false"/>
          <w:iCs w:val="false"/>
          <w:sz w:val="20"/>
          <w:szCs w:val="20"/>
        </w:rPr>
        <w:t xml:space="preserve">The whole model is re-run seven times per table with one driver scaled up or down. The delta is RELATIVE, not absolute.</w:t>
      </w:r>
    </w:p>
    <w:p>
      <w:pPr>
        <w:shd w:fill="F7F9FC" w:val="clear"/>
        <w:spacing w:after="40" w:before="40"/>
        <w:ind w:left="260"/>
      </w:pPr>
      <w:r>
        <w:rPr>
          <w:rFonts w:ascii="Consolas" w:cs="Consolas" w:eastAsia="Consolas" w:hAnsi="Consolas"/>
          <w:sz w:val="18"/>
          <w:szCs w:val="18"/>
        </w:rPr>
        <w:t xml:space="preserve">for each delta in [ −20%, −10%, −5%, 0, +5%, +10%, +20% ]:</w:t>
      </w:r>
    </w:p>
    <w:p>
      <w:pPr>
        <w:shd w:fill="F7F9FC" w:val="clear"/>
        <w:spacing w:after="40" w:before="40"/>
        <w:ind w:left="260"/>
      </w:pPr>
      <w:r>
        <w:rPr>
          <w:rFonts w:ascii="Consolas" w:cs="Consolas" w:eastAsia="Consolas" w:hAnsi="Consolas"/>
          <w:sz w:val="18"/>
          <w:szCs w:val="18"/>
        </w:rPr>
        <w:t xml:space="preserve">     growth table:  growthPct    × (1 + delta)   for every unit and year</w:t>
      </w:r>
    </w:p>
    <w:p>
      <w:pPr>
        <w:shd w:fill="F7F9FC" w:val="clear"/>
        <w:spacing w:after="40" w:before="40"/>
        <w:ind w:left="260"/>
      </w:pPr>
      <w:r>
        <w:rPr>
          <w:rFonts w:ascii="Consolas" w:cs="Consolas" w:eastAsia="Consolas" w:hAnsi="Consolas"/>
          <w:sz w:val="18"/>
          <w:szCs w:val="18"/>
        </w:rPr>
        <w:t xml:space="preserve">     cost table:    costOfSalesPct × (1 + delta) for every unit and year</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Every driver row for the scenario in force.</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growth rate of 5% at delta −20% becomes 5% × 0.80 = 4%, NOT −15%. A cost ratio of 92% at +10% becomes 101.2%.</w:t>
            </w:r>
          </w:p>
        </w:tc>
      </w:tr>
    </w:tbl>
    <w:p>
      <w:pPr>
        <w:spacing w:after="60"/>
      </w:pPr>
    </w:p>
    <w:p>
      <w:pPr>
        <w:spacing w:after="120"/>
      </w:pPr>
      <w:r>
        <w:rPr>
          <w:b w:val="false"/>
          <w:bCs w:val="false"/>
          <w:i/>
          <w:iCs/>
          <w:sz w:val="19"/>
          <w:szCs w:val="19"/>
        </w:rPr>
        <w:t xml:space="preserve">Each row then reports revenue, EBITDA, net income and closing cash at the FINAL forecast year only.</w:t>
      </w:r>
    </w:p>
    <w:p>
      <w:pPr>
        <w:spacing w:after="100"/>
      </w:pPr>
    </w:p>
    <w:p>
      <w:pPr>
        <w:pStyle w:val="Heading3"/>
        <w:spacing w:after="100" w:before="220"/>
      </w:pPr>
      <w:r>
        <w:t xml:space="preserve">39.  Compound annual growth rate (Actual analysis)</w:t>
      </w:r>
    </w:p>
    <w:p>
      <w:pPr>
        <w:spacing w:after="120"/>
      </w:pPr>
      <w:r>
        <w:rPr>
          <w:b w:val="false"/>
          <w:bCs w:val="false"/>
          <w:i w:val="false"/>
          <w:iCs w:val="false"/>
          <w:sz w:val="20"/>
          <w:szCs w:val="20"/>
        </w:rPr>
        <w:t xml:space="preserve">The average annual growth across the whole historical window.</w:t>
      </w:r>
    </w:p>
    <w:p>
      <w:pPr>
        <w:shd w:fill="F7F9FC" w:val="clear"/>
        <w:spacing w:after="40" w:before="40"/>
        <w:ind w:left="260"/>
      </w:pPr>
      <w:r>
        <w:rPr>
          <w:rFonts w:ascii="Consolas" w:cs="Consolas" w:eastAsia="Consolas" w:hAnsi="Consolas"/>
          <w:sz w:val="18"/>
          <w:szCs w:val="18"/>
        </w:rPr>
        <w:t xml:space="preserve">CAGR = ( lastYearRevenue ÷ firstYearRevenue ) ^ ( 1 ÷ (numberOfYears − 1) ) − 1</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Historical revenue per year (step 4).</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Revenue of 1,000,000 in 2023 and 1,210,000 in 2025 (3 years): (1,210,000 ÷ 1,000,000)^(1÷2) − 1 = 10.0%.</w:t>
            </w:r>
          </w:p>
        </w:tc>
      </w:tr>
    </w:tbl>
    <w:p>
      <w:pPr>
        <w:spacing w:after="60"/>
      </w:pPr>
    </w:p>
    <w:p>
      <w:pPr>
        <w:spacing w:after="120"/>
      </w:pPr>
      <w:r>
        <w:rPr>
          <w:b w:val="false"/>
          <w:bCs w:val="false"/>
          <w:i/>
          <w:iCs/>
          <w:sz w:val="19"/>
          <w:szCs w:val="19"/>
        </w:rPr>
        <w:t xml:space="preserve">Reported as nothing when the first year is zero or there is only one historical year.</w:t>
      </w:r>
    </w:p>
    <w:p>
      <w:pPr>
        <w:spacing w:after="100"/>
      </w:pPr>
    </w:p>
    <w:p>
      <w:pPr>
        <w:pStyle w:val="Heading3"/>
        <w:spacing w:after="100" w:before="220"/>
      </w:pPr>
      <w:r>
        <w:t xml:space="preserve">40.  The forecast bridge flag (Actual analysis)</w:t>
      </w:r>
    </w:p>
    <w:p>
      <w:pPr>
        <w:spacing w:after="120"/>
      </w:pPr>
      <w:r>
        <w:rPr>
          <w:b w:val="false"/>
          <w:bCs w:val="false"/>
          <w:i w:val="false"/>
          <w:iCs w:val="false"/>
          <w:sz w:val="20"/>
          <w:szCs w:val="20"/>
        </w:rPr>
        <w:t xml:space="preserve">Compares each cost ratio as it actually was in the last closed year with what the forecast assumes for its first year, and flags anything stepping too far in the company's favour.</w:t>
      </w:r>
    </w:p>
    <w:p>
      <w:pPr>
        <w:shd w:fill="F7F9FC" w:val="clear"/>
        <w:spacing w:after="40" w:before="40"/>
        <w:ind w:left="260"/>
      </w:pPr>
      <w:r>
        <w:rPr>
          <w:rFonts w:ascii="Consolas" w:cs="Consolas" w:eastAsia="Consolas" w:hAnsi="Consolas"/>
          <w:sz w:val="18"/>
          <w:szCs w:val="18"/>
        </w:rPr>
        <w:t xml:space="preserve">shift      = forecastRatio − actualRatio</w:t>
      </w:r>
    </w:p>
    <w:p>
      <w:pPr>
        <w:shd w:fill="F7F9FC" w:val="clear"/>
        <w:spacing w:after="40" w:before="40"/>
        <w:ind w:left="260"/>
      </w:pPr>
      <w:r>
        <w:rPr>
          <w:rFonts w:ascii="Consolas" w:cs="Consolas" w:eastAsia="Consolas" w:hAnsi="Consolas"/>
          <w:sz w:val="18"/>
          <w:szCs w:val="18"/>
        </w:rPr>
        <w:t xml:space="preserve">favourable = shift improves profitability</w:t>
      </w:r>
    </w:p>
    <w:p>
      <w:pPr>
        <w:shd w:fill="F7F9FC" w:val="clear"/>
        <w:spacing w:after="40" w:before="40"/>
        <w:ind w:left="260"/>
      </w:pPr>
      <w:r>
        <w:rPr>
          <w:rFonts w:ascii="Consolas" w:cs="Consolas" w:eastAsia="Consolas" w:hAnsi="Consolas"/>
          <w:sz w:val="18"/>
          <w:szCs w:val="18"/>
        </w:rPr>
        <w:t xml:space="preserve">FLAGGED    when favourable AND |shift| ≥ 0.01  (one percentage point)</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Last closed year actuals; first forecast year of the income statement.</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Cost of sales was 92.5% of revenue last year and the forecast assumes 91.0%. Shift = −1.5 points, which is favourable and ≥ 1 point → FLAGGED. At 92.0% the shift is −0.5 points and is not flagged.</w:t>
            </w:r>
          </w:p>
        </w:tc>
      </w:tr>
    </w:tbl>
    <w:p>
      <w:pPr>
        <w:spacing w:after="60"/>
      </w:pPr>
    </w:p>
    <w:p>
      <w:pPr>
        <w:spacing w:after="120"/>
      </w:pPr>
      <w:r>
        <w:rPr>
          <w:b w:val="false"/>
          <w:bCs w:val="false"/>
          <w:i/>
          <w:iCs/>
          <w:sz w:val="19"/>
          <w:szCs w:val="19"/>
        </w:rPr>
        <w:t xml:space="preserve">Four ratios are checked: cost of sales %, gross margin %, operating expenses %, EBITDA margin %.</w:t>
      </w:r>
    </w:p>
    <w:p>
      <w:pPr>
        <w:spacing w:after="100"/>
      </w:pPr>
    </w:p>
    <w:p>
      <w:pPr>
        <w:pStyle w:val="Heading3"/>
        <w:spacing w:after="100" w:before="220"/>
      </w:pPr>
      <w:r>
        <w:t xml:space="preserve">41.  Presentation currency translation</w:t>
      </w:r>
    </w:p>
    <w:p>
      <w:pPr>
        <w:spacing w:after="120"/>
      </w:pPr>
      <w:r>
        <w:rPr>
          <w:b w:val="false"/>
          <w:bCs w:val="false"/>
          <w:i w:val="false"/>
          <w:iCs w:val="false"/>
          <w:sz w:val="20"/>
          <w:szCs w:val="20"/>
        </w:rPr>
        <w:t xml:space="preserve">A display-only translation. The stored model and every calculation behind it stay in the model's own currency.</w:t>
      </w:r>
    </w:p>
    <w:p>
      <w:pPr>
        <w:shd w:fill="F7F9FC" w:val="clear"/>
        <w:spacing w:after="40" w:before="40"/>
        <w:ind w:left="260"/>
      </w:pPr>
      <w:r>
        <w:rPr>
          <w:rFonts w:ascii="Consolas" w:cs="Consolas" w:eastAsia="Consolas" w:hAnsi="Consolas"/>
          <w:sz w:val="18"/>
          <w:szCs w:val="18"/>
        </w:rPr>
        <w:t xml:space="preserve">factor = targetCurrency.perSar ÷ modelCurrency.perSar</w:t>
      </w:r>
    </w:p>
    <w:p>
      <w:pPr>
        <w:shd w:fill="F7F9FC" w:val="clear"/>
        <w:spacing w:after="40" w:before="40"/>
        <w:ind w:left="260"/>
      </w:pPr>
      <w:r>
        <w:rPr>
          <w:rFonts w:ascii="Consolas" w:cs="Consolas" w:eastAsia="Consolas" w:hAnsi="Consolas"/>
          <w:sz w:val="18"/>
          <w:szCs w:val="18"/>
        </w:rPr>
        <w:t xml:space="preserve">displayed = storedAmount × factor</w:t>
      </w:r>
    </w:p>
    <w:p>
      <w:pPr>
        <w:spacing w:after="40"/>
      </w:pP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3400"/>
        <w:gridCol w:w="5960"/>
      </w:tblGrid>
      <w:tr>
        <w:trPr>
          <w:tblHeader/>
        </w:trPr>
        <w:tc>
          <w:tcPr>
            <w:tcW w:type="dxa" w:w="3400"/>
            <w:shd w:fill="1F3864" w:val="clear"/>
            <w:tcMar>
              <w:top w:type="dxa" w:w="70"/>
              <w:left w:type="dxa" w:w="110"/>
              <w:bottom w:type="dxa" w:w="70"/>
              <w:right w:type="dxa" w:w="110"/>
            </w:tcMar>
          </w:tcPr>
          <w:p>
            <w:pPr>
              <w:spacing w:after="0"/>
            </w:pPr>
            <w:r>
              <w:rPr>
                <w:b/>
                <w:bCs/>
                <w:i w:val="false"/>
                <w:iCs w:val="false"/>
                <w:color w:val="FFFFFF"/>
                <w:sz w:val="18"/>
                <w:szCs w:val="18"/>
              </w:rPr>
              <w:t xml:space="preserve">Inputs</w:t>
            </w:r>
          </w:p>
        </w:tc>
        <w:tc>
          <w:tcPr>
            <w:tcW w:type="dxa" w:w="5960"/>
            <w:shd w:fill="1F3864" w:val="clear"/>
            <w:tcMar>
              <w:top w:type="dxa" w:w="70"/>
              <w:left w:type="dxa" w:w="110"/>
              <w:bottom w:type="dxa" w:w="70"/>
              <w:right w:type="dxa" w:w="110"/>
            </w:tcMar>
          </w:tcPr>
          <w:p>
            <w:pPr>
              <w:spacing w:after="0"/>
            </w:pPr>
            <w:r>
              <w:rPr>
                <w:b/>
                <w:bCs/>
                <w:i w:val="false"/>
                <w:iCs w:val="false"/>
                <w:color w:val="FFFFFF"/>
                <w:sz w:val="18"/>
                <w:szCs w:val="18"/>
              </w:rPr>
              <w:t xml:space="preserve">Worked example a tester can check by hand</w:t>
            </w:r>
          </w:p>
        </w:tc>
      </w:tr>
      <w:tr>
        <w:tc>
          <w:tcPr>
            <w:tcW w:type="dxa" w:w="3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15 fixed planning rates carried with the system, quoted against SAR. Not a live feed — a forecast has to be reproducible.</w:t>
            </w:r>
          </w:p>
        </w:tc>
        <w:tc>
          <w:tcPr>
            <w:tcW w:type="dxa" w:w="5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SAR model shown in USD (0.2666 per SAR): 1,000,000 SAR displays as 266,600. Switching back is lossless because nothing was stored.</w:t>
            </w:r>
          </w:p>
        </w:tc>
      </w:tr>
    </w:tbl>
    <w:p>
      <w:pPr>
        <w:spacing w:after="60"/>
      </w:pPr>
    </w:p>
    <w:p>
      <w:pPr>
        <w:spacing w:after="120"/>
      </w:pPr>
      <w:r>
        <w:rPr>
          <w:b w:val="false"/>
          <w:bCs w:val="false"/>
          <w:i/>
          <w:iCs/>
          <w:sz w:val="19"/>
          <w:szCs w:val="19"/>
        </w:rPr>
        <w:t xml:space="preserve">Only money is translated. Percentages, ratios and day counts are unit-free and are never touched — a 42% margin is 42% in any currency. CSV exports of ratios are likewise never translated.</w:t>
      </w:r>
    </w:p>
    <w:p>
      <w:pPr>
        <w:spacing w:after="100"/>
      </w:pPr>
    </w:p>
    <w:p>
      <w:r>
        <w:br w:type="page"/>
      </w:r>
    </w:p>
    <w:p>
      <w:pPr>
        <w:pStyle w:val="Heading1"/>
        <w:spacing w:after="160" w:before="360"/>
      </w:pPr>
      <w:r>
        <w:t xml:space="preserve">4. Business Rules &amp; Workflows</w:t>
      </w:r>
    </w:p>
    <w:p>
      <w:pPr>
        <w:pStyle w:val="Heading2"/>
        <w:spacing w:after="120" w:before="280"/>
      </w:pPr>
      <w:r>
        <w:t xml:space="preserve">4.1  User roles and what each can actually do</w:t>
      </w:r>
    </w:p>
    <w:p>
      <w:pPr>
        <w:spacing w:after="120"/>
      </w:pPr>
      <w:r>
        <w:rPr>
          <w:b w:val="false"/>
          <w:bCs w:val="false"/>
          <w:i w:val="false"/>
          <w:iCs w:val="false"/>
          <w:sz w:val="20"/>
          <w:szCs w:val="20"/>
        </w:rPr>
        <w:t xml:space="preserve">Five roles. Every rule below is enforced on the SERVER on every request — disabled fields and hidden navigation are a convenience, never the control. A read-only account posting directly to a save endpoint receives 403.</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360"/>
        <w:gridCol w:w="1400"/>
        <w:gridCol w:w="1400"/>
        <w:gridCol w:w="1200"/>
        <w:gridCol w:w="1500"/>
        <w:gridCol w:w="1500"/>
      </w:tblGrid>
      <w:tr>
        <w:trPr>
          <w:tblHeader/>
        </w:trPr>
        <w:tc>
          <w:tcPr>
            <w:tcW w:type="dxa" w:w="2360"/>
            <w:shd w:fill="1F3864" w:val="clear"/>
            <w:tcMar>
              <w:top w:type="dxa" w:w="70"/>
              <w:left w:type="dxa" w:w="110"/>
              <w:bottom w:type="dxa" w:w="70"/>
              <w:right w:type="dxa" w:w="110"/>
            </w:tcMar>
          </w:tcPr>
          <w:p>
            <w:pPr>
              <w:spacing w:after="0"/>
            </w:pPr>
            <w:r>
              <w:rPr>
                <w:b/>
                <w:bCs/>
                <w:i w:val="false"/>
                <w:iCs w:val="false"/>
                <w:color w:val="FFFFFF"/>
                <w:sz w:val="18"/>
                <w:szCs w:val="18"/>
              </w:rPr>
              <w:t xml:space="preserve">Role</w:t>
            </w:r>
          </w:p>
        </w:tc>
        <w:tc>
          <w:tcPr>
            <w:tcW w:type="dxa" w:w="1400"/>
            <w:shd w:fill="1F3864" w:val="clear"/>
            <w:tcMar>
              <w:top w:type="dxa" w:w="70"/>
              <w:left w:type="dxa" w:w="110"/>
              <w:bottom w:type="dxa" w:w="70"/>
              <w:right w:type="dxa" w:w="110"/>
            </w:tcMar>
          </w:tcPr>
          <w:p>
            <w:pPr>
              <w:spacing w:after="0"/>
            </w:pPr>
            <w:r>
              <w:rPr>
                <w:b/>
                <w:bCs/>
                <w:i w:val="false"/>
                <w:iCs w:val="false"/>
                <w:color w:val="FFFFFF"/>
                <w:sz w:val="18"/>
                <w:szCs w:val="18"/>
              </w:rPr>
              <w:t xml:space="preserve">View outputs</w:t>
            </w:r>
          </w:p>
        </w:tc>
        <w:tc>
          <w:tcPr>
            <w:tcW w:type="dxa" w:w="1400"/>
            <w:shd w:fill="1F3864" w:val="clear"/>
            <w:tcMar>
              <w:top w:type="dxa" w:w="70"/>
              <w:left w:type="dxa" w:w="110"/>
              <w:bottom w:type="dxa" w:w="70"/>
              <w:right w:type="dxa" w:w="110"/>
            </w:tcMar>
          </w:tcPr>
          <w:p>
            <w:pPr>
              <w:spacing w:after="0"/>
            </w:pPr>
            <w:r>
              <w:rPr>
                <w:b/>
                <w:bCs/>
                <w:i w:val="false"/>
                <w:iCs w:val="false"/>
                <w:color w:val="FFFFFF"/>
                <w:sz w:val="18"/>
                <w:szCs w:val="18"/>
              </w:rPr>
              <w:t xml:space="preserve">View inputs</w:t>
            </w:r>
          </w:p>
        </w:tc>
        <w:tc>
          <w:tcPr>
            <w:tcW w:type="dxa" w:w="1200"/>
            <w:shd w:fill="1F3864" w:val="clear"/>
            <w:tcMar>
              <w:top w:type="dxa" w:w="70"/>
              <w:left w:type="dxa" w:w="110"/>
              <w:bottom w:type="dxa" w:w="70"/>
              <w:right w:type="dxa" w:w="110"/>
            </w:tcMar>
          </w:tcPr>
          <w:p>
            <w:pPr>
              <w:spacing w:after="0"/>
            </w:pPr>
            <w:r>
              <w:rPr>
                <w:b/>
                <w:bCs/>
                <w:i w:val="false"/>
                <w:iCs w:val="false"/>
                <w:color w:val="FFFFFF"/>
                <w:sz w:val="18"/>
                <w:szCs w:val="18"/>
              </w:rPr>
              <w:t xml:space="preserve">Edit</w:t>
            </w:r>
          </w:p>
        </w:tc>
        <w:tc>
          <w:tcPr>
            <w:tcW w:type="dxa" w:w="1500"/>
            <w:shd w:fill="1F3864" w:val="clear"/>
            <w:tcMar>
              <w:top w:type="dxa" w:w="70"/>
              <w:left w:type="dxa" w:w="110"/>
              <w:bottom w:type="dxa" w:w="70"/>
              <w:right w:type="dxa" w:w="110"/>
            </w:tcMar>
          </w:tcPr>
          <w:p>
            <w:pPr>
              <w:spacing w:after="0"/>
            </w:pPr>
            <w:r>
              <w:rPr>
                <w:b/>
                <w:bCs/>
                <w:i w:val="false"/>
                <w:iCs w:val="false"/>
                <w:color w:val="FFFFFF"/>
                <w:sz w:val="18"/>
                <w:szCs w:val="18"/>
              </w:rPr>
              <w:t xml:space="preserve">Close a model</w:t>
            </w:r>
          </w:p>
        </w:tc>
        <w:tc>
          <w:tcPr>
            <w:tcW w:type="dxa" w:w="1500"/>
            <w:shd w:fill="1F3864" w:val="clear"/>
            <w:tcMar>
              <w:top w:type="dxa" w:w="70"/>
              <w:left w:type="dxa" w:w="110"/>
              <w:bottom w:type="dxa" w:w="70"/>
              <w:right w:type="dxa" w:w="110"/>
            </w:tcMar>
          </w:tcPr>
          <w:p>
            <w:pPr>
              <w:spacing w:after="0"/>
            </w:pPr>
            <w:r>
              <w:rPr>
                <w:b/>
                <w:bCs/>
                <w:i w:val="false"/>
                <w:iCs w:val="false"/>
                <w:color w:val="FFFFFF"/>
                <w:sz w:val="18"/>
                <w:szCs w:val="18"/>
              </w:rPr>
              <w:t xml:space="preserve">Admin pages</w:t>
            </w:r>
          </w:p>
        </w:tc>
      </w:tr>
      <w:tr>
        <w:tc>
          <w:tcPr>
            <w:tcW w:type="dxa" w:w="2360"/>
            <w:shd w:fill="FFFFFF" w:val="clear"/>
            <w:tcMar>
              <w:top w:type="dxa" w:w="70"/>
              <w:left w:type="dxa" w:w="110"/>
              <w:bottom w:type="dxa" w:w="70"/>
              <w:right w:type="dxa" w:w="110"/>
            </w:tcMar>
          </w:tcPr>
          <w:p>
            <w:pPr>
              <w:spacing w:after="0"/>
            </w:pPr>
            <w:r>
              <w:rPr>
                <w:b/>
                <w:bCs/>
                <w:i w:val="false"/>
                <w:iCs w:val="false"/>
                <w:color w:val="000000"/>
                <w:sz w:val="18"/>
                <w:szCs w:val="18"/>
              </w:rPr>
              <w:t xml:space="preserve">Super administrator</w:t>
            </w:r>
          </w:p>
        </w:tc>
        <w:tc>
          <w:tcPr>
            <w:tcW w:type="dxa" w:w="1400"/>
            <w:shd w:fill="FDECE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1400"/>
            <w:shd w:fill="FDECE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1200"/>
            <w:shd w:fill="FDECE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1500"/>
            <w:shd w:fill="FDECE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1500"/>
            <w:shd w:fill="EAF6EC" w:val="clear"/>
            <w:tcMar>
              <w:top w:type="dxa" w:w="70"/>
              <w:left w:type="dxa" w:w="110"/>
              <w:bottom w:type="dxa" w:w="70"/>
              <w:right w:type="dxa" w:w="110"/>
            </w:tcMar>
          </w:tcPr>
          <w:p>
            <w:pPr>
              <w:spacing w:after="0"/>
            </w:pPr>
            <w:r>
              <w:rPr>
                <w:b/>
                <w:bCs/>
                <w:i w:val="false"/>
                <w:iCs w:val="false"/>
                <w:color w:val="000000"/>
                <w:sz w:val="18"/>
                <w:szCs w:val="18"/>
              </w:rPr>
              <w:t xml:space="preserve">Yes</w:t>
            </w:r>
          </w:p>
        </w:tc>
      </w:tr>
      <w:tr>
        <w:tc>
          <w:tcPr>
            <w:tcW w:type="dxa" w:w="2360"/>
            <w:shd w:fill="F7F9FC" w:val="clear"/>
            <w:tcMar>
              <w:top w:type="dxa" w:w="70"/>
              <w:left w:type="dxa" w:w="110"/>
              <w:bottom w:type="dxa" w:w="70"/>
              <w:right w:type="dxa" w:w="110"/>
            </w:tcMar>
          </w:tcPr>
          <w:p>
            <w:pPr>
              <w:spacing w:after="0"/>
            </w:pPr>
            <w:r>
              <w:rPr>
                <w:b/>
                <w:bCs/>
                <w:i w:val="false"/>
                <w:iCs w:val="false"/>
                <w:color w:val="000000"/>
                <w:sz w:val="18"/>
                <w:szCs w:val="18"/>
              </w:rPr>
              <w:t xml:space="preserve">Administrator</w:t>
            </w:r>
          </w:p>
        </w:tc>
        <w:tc>
          <w:tcPr>
            <w:tcW w:type="dxa" w:w="1400"/>
            <w:shd w:fill="EAF6EC" w:val="clear"/>
            <w:tcMar>
              <w:top w:type="dxa" w:w="70"/>
              <w:left w:type="dxa" w:w="110"/>
              <w:bottom w:type="dxa" w:w="70"/>
              <w:right w:type="dxa" w:w="110"/>
            </w:tcMar>
          </w:tcPr>
          <w:p>
            <w:pPr>
              <w:spacing w:after="0"/>
            </w:pPr>
            <w:r>
              <w:rPr>
                <w:b w:val="false"/>
                <w:bCs w:val="false"/>
                <w:i w:val="false"/>
                <w:iCs w:val="false"/>
                <w:color w:val="000000"/>
                <w:sz w:val="18"/>
                <w:szCs w:val="18"/>
              </w:rPr>
              <w:t xml:space="preserve">Yes</w:t>
            </w:r>
          </w:p>
        </w:tc>
        <w:tc>
          <w:tcPr>
            <w:tcW w:type="dxa" w:w="1400"/>
            <w:shd w:fill="EAF6EC" w:val="clear"/>
            <w:tcMar>
              <w:top w:type="dxa" w:w="70"/>
              <w:left w:type="dxa" w:w="110"/>
              <w:bottom w:type="dxa" w:w="70"/>
              <w:right w:type="dxa" w:w="110"/>
            </w:tcMar>
          </w:tcPr>
          <w:p>
            <w:pPr>
              <w:spacing w:after="0"/>
            </w:pPr>
            <w:r>
              <w:rPr>
                <w:b w:val="false"/>
                <w:bCs w:val="false"/>
                <w:i w:val="false"/>
                <w:iCs w:val="false"/>
                <w:color w:val="000000"/>
                <w:sz w:val="18"/>
                <w:szCs w:val="18"/>
              </w:rPr>
              <w:t xml:space="preserve">Yes</w:t>
            </w:r>
          </w:p>
        </w:tc>
        <w:tc>
          <w:tcPr>
            <w:tcW w:type="dxa" w:w="1200"/>
            <w:shd w:fill="EAF6EC" w:val="clear"/>
            <w:tcMar>
              <w:top w:type="dxa" w:w="70"/>
              <w:left w:type="dxa" w:w="110"/>
              <w:bottom w:type="dxa" w:w="70"/>
              <w:right w:type="dxa" w:w="110"/>
            </w:tcMar>
          </w:tcPr>
          <w:p>
            <w:pPr>
              <w:spacing w:after="0"/>
            </w:pPr>
            <w:r>
              <w:rPr>
                <w:b w:val="false"/>
                <w:bCs w:val="false"/>
                <w:i w:val="false"/>
                <w:iCs w:val="false"/>
                <w:color w:val="000000"/>
                <w:sz w:val="18"/>
                <w:szCs w:val="18"/>
              </w:rPr>
              <w:t xml:space="preserve">Yes</w:t>
            </w:r>
          </w:p>
        </w:tc>
        <w:tc>
          <w:tcPr>
            <w:tcW w:type="dxa" w:w="1500"/>
            <w:shd w:fill="EAF6EC" w:val="clear"/>
            <w:tcMar>
              <w:top w:type="dxa" w:w="70"/>
              <w:left w:type="dxa" w:w="110"/>
              <w:bottom w:type="dxa" w:w="70"/>
              <w:right w:type="dxa" w:w="110"/>
            </w:tcMar>
          </w:tcPr>
          <w:p>
            <w:pPr>
              <w:spacing w:after="0"/>
            </w:pPr>
            <w:r>
              <w:rPr>
                <w:b w:val="false"/>
                <w:bCs w:val="false"/>
                <w:i w:val="false"/>
                <w:iCs w:val="false"/>
                <w:color w:val="000000"/>
                <w:sz w:val="18"/>
                <w:szCs w:val="18"/>
              </w:rPr>
              <w:t xml:space="preserve">Yes</w:t>
            </w:r>
          </w:p>
        </w:tc>
        <w:tc>
          <w:tcPr>
            <w:tcW w:type="dxa" w:w="1500"/>
            <w:shd w:fill="FDECEC" w:val="clear"/>
            <w:tcMar>
              <w:top w:type="dxa" w:w="70"/>
              <w:left w:type="dxa" w:w="110"/>
              <w:bottom w:type="dxa" w:w="70"/>
              <w:right w:type="dxa" w:w="110"/>
            </w:tcMar>
          </w:tcPr>
          <w:p>
            <w:pPr>
              <w:spacing w:after="0"/>
            </w:pPr>
            <w:r>
              <w:rPr>
                <w:b w:val="false"/>
                <w:bCs w:val="false"/>
                <w:i w:val="false"/>
                <w:iCs w:val="false"/>
                <w:color w:val="000000"/>
                <w:sz w:val="18"/>
                <w:szCs w:val="18"/>
              </w:rPr>
              <w:t xml:space="preserve">No (403)</w:t>
            </w:r>
          </w:p>
        </w:tc>
      </w:tr>
      <w:tr>
        <w:tc>
          <w:tcPr>
            <w:tcW w:type="dxa" w:w="2360"/>
            <w:shd w:fill="FFFFFF" w:val="clear"/>
            <w:tcMar>
              <w:top w:type="dxa" w:w="70"/>
              <w:left w:type="dxa" w:w="110"/>
              <w:bottom w:type="dxa" w:w="70"/>
              <w:right w:type="dxa" w:w="110"/>
            </w:tcMar>
          </w:tcPr>
          <w:p>
            <w:pPr>
              <w:spacing w:after="0"/>
            </w:pPr>
            <w:r>
              <w:rPr>
                <w:b/>
                <w:bCs/>
                <w:i w:val="false"/>
                <w:iCs w:val="false"/>
                <w:color w:val="000000"/>
                <w:sz w:val="18"/>
                <w:szCs w:val="18"/>
              </w:rPr>
              <w:t xml:space="preserve">Model manager</w:t>
            </w:r>
          </w:p>
        </w:tc>
        <w:tc>
          <w:tcPr>
            <w:tcW w:type="dxa" w:w="1400"/>
            <w:shd w:fill="EAF6EC" w:val="clear"/>
            <w:tcMar>
              <w:top w:type="dxa" w:w="70"/>
              <w:left w:type="dxa" w:w="110"/>
              <w:bottom w:type="dxa" w:w="70"/>
              <w:right w:type="dxa" w:w="110"/>
            </w:tcMar>
          </w:tcPr>
          <w:p>
            <w:pPr>
              <w:spacing w:after="0"/>
            </w:pPr>
            <w:r>
              <w:rPr>
                <w:b w:val="false"/>
                <w:bCs w:val="false"/>
                <w:i w:val="false"/>
                <w:iCs w:val="false"/>
                <w:color w:val="000000"/>
                <w:sz w:val="18"/>
                <w:szCs w:val="18"/>
              </w:rPr>
              <w:t xml:space="preserve">Yes</w:t>
            </w:r>
          </w:p>
        </w:tc>
        <w:tc>
          <w:tcPr>
            <w:tcW w:type="dxa" w:w="1400"/>
            <w:shd w:fill="EAF6EC" w:val="clear"/>
            <w:tcMar>
              <w:top w:type="dxa" w:w="70"/>
              <w:left w:type="dxa" w:w="110"/>
              <w:bottom w:type="dxa" w:w="70"/>
              <w:right w:type="dxa" w:w="110"/>
            </w:tcMar>
          </w:tcPr>
          <w:p>
            <w:pPr>
              <w:spacing w:after="0"/>
            </w:pPr>
            <w:r>
              <w:rPr>
                <w:b w:val="false"/>
                <w:bCs w:val="false"/>
                <w:i w:val="false"/>
                <w:iCs w:val="false"/>
                <w:color w:val="000000"/>
                <w:sz w:val="18"/>
                <w:szCs w:val="18"/>
              </w:rPr>
              <w:t xml:space="preserve">Yes</w:t>
            </w:r>
          </w:p>
        </w:tc>
        <w:tc>
          <w:tcPr>
            <w:tcW w:type="dxa" w:w="1200"/>
            <w:shd w:fill="EAF6EC" w:val="clear"/>
            <w:tcMar>
              <w:top w:type="dxa" w:w="70"/>
              <w:left w:type="dxa" w:w="110"/>
              <w:bottom w:type="dxa" w:w="70"/>
              <w:right w:type="dxa" w:w="110"/>
            </w:tcMar>
          </w:tcPr>
          <w:p>
            <w:pPr>
              <w:spacing w:after="0"/>
            </w:pPr>
            <w:r>
              <w:rPr>
                <w:b w:val="false"/>
                <w:bCs w:val="false"/>
                <w:i w:val="false"/>
                <w:iCs w:val="false"/>
                <w:color w:val="000000"/>
                <w:sz w:val="18"/>
                <w:szCs w:val="18"/>
              </w:rPr>
              <w:t xml:space="preserve">Yes</w:t>
            </w:r>
          </w:p>
        </w:tc>
        <w:tc>
          <w:tcPr>
            <w:tcW w:type="dxa" w:w="1500"/>
            <w:shd w:fill="FDECE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1500"/>
            <w:shd w:fill="FDECEC" w:val="clear"/>
            <w:tcMar>
              <w:top w:type="dxa" w:w="70"/>
              <w:left w:type="dxa" w:w="110"/>
              <w:bottom w:type="dxa" w:w="70"/>
              <w:right w:type="dxa" w:w="110"/>
            </w:tcMar>
          </w:tcPr>
          <w:p>
            <w:pPr>
              <w:spacing w:after="0"/>
            </w:pPr>
            <w:r>
              <w:rPr>
                <w:b w:val="false"/>
                <w:bCs w:val="false"/>
                <w:i w:val="false"/>
                <w:iCs w:val="false"/>
                <w:color w:val="000000"/>
                <w:sz w:val="18"/>
                <w:szCs w:val="18"/>
              </w:rPr>
              <w:t xml:space="preserve">No (403)</w:t>
            </w:r>
          </w:p>
        </w:tc>
      </w:tr>
      <w:tr>
        <w:tc>
          <w:tcPr>
            <w:tcW w:type="dxa" w:w="2360"/>
            <w:shd w:fill="F7F9FC" w:val="clear"/>
            <w:tcMar>
              <w:top w:type="dxa" w:w="70"/>
              <w:left w:type="dxa" w:w="110"/>
              <w:bottom w:type="dxa" w:w="70"/>
              <w:right w:type="dxa" w:w="110"/>
            </w:tcMar>
          </w:tcPr>
          <w:p>
            <w:pPr>
              <w:spacing w:after="0"/>
            </w:pPr>
            <w:r>
              <w:rPr>
                <w:b/>
                <w:bCs/>
                <w:i w:val="false"/>
                <w:iCs w:val="false"/>
                <w:color w:val="000000"/>
                <w:sz w:val="18"/>
                <w:szCs w:val="18"/>
              </w:rPr>
              <w:t xml:space="preserve">Analyst (read-only)</w:t>
            </w:r>
          </w:p>
        </w:tc>
        <w:tc>
          <w:tcPr>
            <w:tcW w:type="dxa" w:w="1400"/>
            <w:shd w:fill="EAF6EC" w:val="clear"/>
            <w:tcMar>
              <w:top w:type="dxa" w:w="70"/>
              <w:left w:type="dxa" w:w="110"/>
              <w:bottom w:type="dxa" w:w="70"/>
              <w:right w:type="dxa" w:w="110"/>
            </w:tcMar>
          </w:tcPr>
          <w:p>
            <w:pPr>
              <w:spacing w:after="0"/>
            </w:pPr>
            <w:r>
              <w:rPr>
                <w:b w:val="false"/>
                <w:bCs w:val="false"/>
                <w:i w:val="false"/>
                <w:iCs w:val="false"/>
                <w:color w:val="000000"/>
                <w:sz w:val="18"/>
                <w:szCs w:val="18"/>
              </w:rPr>
              <w:t xml:space="preserve">Yes</w:t>
            </w:r>
          </w:p>
        </w:tc>
        <w:tc>
          <w:tcPr>
            <w:tcW w:type="dxa" w:w="1400"/>
            <w:shd w:fill="EAF6EC" w:val="clear"/>
            <w:tcMar>
              <w:top w:type="dxa" w:w="70"/>
              <w:left w:type="dxa" w:w="110"/>
              <w:bottom w:type="dxa" w:w="70"/>
              <w:right w:type="dxa" w:w="110"/>
            </w:tcMar>
          </w:tcPr>
          <w:p>
            <w:pPr>
              <w:spacing w:after="0"/>
            </w:pPr>
            <w:r>
              <w:rPr>
                <w:b w:val="false"/>
                <w:bCs w:val="false"/>
                <w:i w:val="false"/>
                <w:iCs w:val="false"/>
                <w:color w:val="000000"/>
                <w:sz w:val="18"/>
                <w:szCs w:val="18"/>
              </w:rPr>
              <w:t xml:space="preserve">Yes</w:t>
            </w:r>
          </w:p>
        </w:tc>
        <w:tc>
          <w:tcPr>
            <w:tcW w:type="dxa" w:w="1200"/>
            <w:shd w:fill="FDECE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1500"/>
            <w:shd w:fill="FDECE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1500"/>
            <w:shd w:fill="FDECEC" w:val="clear"/>
            <w:tcMar>
              <w:top w:type="dxa" w:w="70"/>
              <w:left w:type="dxa" w:w="110"/>
              <w:bottom w:type="dxa" w:w="70"/>
              <w:right w:type="dxa" w:w="110"/>
            </w:tcMar>
          </w:tcPr>
          <w:p>
            <w:pPr>
              <w:spacing w:after="0"/>
            </w:pPr>
            <w:r>
              <w:rPr>
                <w:b w:val="false"/>
                <w:bCs w:val="false"/>
                <w:i w:val="false"/>
                <w:iCs w:val="false"/>
                <w:color w:val="000000"/>
                <w:sz w:val="18"/>
                <w:szCs w:val="18"/>
              </w:rPr>
              <w:t xml:space="preserve">No (403)</w:t>
            </w:r>
          </w:p>
        </w:tc>
      </w:tr>
      <w:tr>
        <w:tc>
          <w:tcPr>
            <w:tcW w:type="dxa" w:w="2360"/>
            <w:shd w:fill="FFFFFF" w:val="clear"/>
            <w:tcMar>
              <w:top w:type="dxa" w:w="70"/>
              <w:left w:type="dxa" w:w="110"/>
              <w:bottom w:type="dxa" w:w="70"/>
              <w:right w:type="dxa" w:w="110"/>
            </w:tcMar>
          </w:tcPr>
          <w:p>
            <w:pPr>
              <w:spacing w:after="0"/>
            </w:pPr>
            <w:r>
              <w:rPr>
                <w:b/>
                <w:bCs/>
                <w:i w:val="false"/>
                <w:iCs w:val="false"/>
                <w:color w:val="000000"/>
                <w:sz w:val="18"/>
                <w:szCs w:val="18"/>
              </w:rPr>
              <w:t xml:space="preserve">Board / outputs only</w:t>
            </w:r>
          </w:p>
        </w:tc>
        <w:tc>
          <w:tcPr>
            <w:tcW w:type="dxa" w:w="1400"/>
            <w:shd w:fill="EAF6EC" w:val="clear"/>
            <w:tcMar>
              <w:top w:type="dxa" w:w="70"/>
              <w:left w:type="dxa" w:w="110"/>
              <w:bottom w:type="dxa" w:w="70"/>
              <w:right w:type="dxa" w:w="110"/>
            </w:tcMar>
          </w:tcPr>
          <w:p>
            <w:pPr>
              <w:spacing w:after="0"/>
            </w:pPr>
            <w:r>
              <w:rPr>
                <w:b w:val="false"/>
                <w:bCs w:val="false"/>
                <w:i w:val="false"/>
                <w:iCs w:val="false"/>
                <w:color w:val="000000"/>
                <w:sz w:val="18"/>
                <w:szCs w:val="18"/>
              </w:rPr>
              <w:t xml:space="preserve">Yes</w:t>
            </w:r>
          </w:p>
        </w:tc>
        <w:tc>
          <w:tcPr>
            <w:tcW w:type="dxa" w:w="1400"/>
            <w:shd w:fill="FDECEC" w:val="clear"/>
            <w:tcMar>
              <w:top w:type="dxa" w:w="70"/>
              <w:left w:type="dxa" w:w="110"/>
              <w:bottom w:type="dxa" w:w="70"/>
              <w:right w:type="dxa" w:w="110"/>
            </w:tcMar>
          </w:tcPr>
          <w:p>
            <w:pPr>
              <w:spacing w:after="0"/>
            </w:pPr>
            <w:r>
              <w:rPr>
                <w:b w:val="false"/>
                <w:bCs w:val="false"/>
                <w:i w:val="false"/>
                <w:iCs w:val="false"/>
                <w:color w:val="000000"/>
                <w:sz w:val="18"/>
                <w:szCs w:val="18"/>
              </w:rPr>
              <w:t xml:space="preserve">No (403)</w:t>
            </w:r>
          </w:p>
        </w:tc>
        <w:tc>
          <w:tcPr>
            <w:tcW w:type="dxa" w:w="1200"/>
            <w:shd w:fill="FDECE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1500"/>
            <w:shd w:fill="FDECE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1500"/>
            <w:shd w:fill="FDECEC" w:val="clear"/>
            <w:tcMar>
              <w:top w:type="dxa" w:w="70"/>
              <w:left w:type="dxa" w:w="110"/>
              <w:bottom w:type="dxa" w:w="70"/>
              <w:right w:type="dxa" w:w="110"/>
            </w:tcMar>
          </w:tcPr>
          <w:p>
            <w:pPr>
              <w:spacing w:after="0"/>
            </w:pPr>
            <w:r>
              <w:rPr>
                <w:b w:val="false"/>
                <w:bCs w:val="false"/>
                <w:i w:val="false"/>
                <w:iCs w:val="false"/>
                <w:color w:val="000000"/>
                <w:sz w:val="18"/>
                <w:szCs w:val="18"/>
              </w:rPr>
              <w:t xml:space="preserve">No (403)</w:t>
            </w:r>
          </w:p>
        </w:tc>
      </w:tr>
    </w:tbl>
    <w:p>
      <w:pPr>
        <w:spacing w:after="80"/>
      </w:pPr>
    </w:p>
    <w:p>
      <w:pPr>
        <w:spacing w:after="120"/>
      </w:pPr>
      <w:r>
        <w:rPr>
          <w:b w:val="false"/>
          <w:bCs w:val="false"/>
          <w:i w:val="false"/>
          <w:iCs w:val="false"/>
          <w:sz w:val="20"/>
          <w:szCs w:val="20"/>
        </w:rPr>
        <w:t xml:space="preserve">Verified against the running system. Page-by-page results:</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360"/>
        <w:gridCol w:w="1400"/>
        <w:gridCol w:w="1400"/>
        <w:gridCol w:w="1400"/>
        <w:gridCol w:w="1400"/>
        <w:gridCol w:w="1400"/>
      </w:tblGrid>
      <w:tr>
        <w:trPr>
          <w:tblHeader/>
        </w:trPr>
        <w:tc>
          <w:tcPr>
            <w:tcW w:type="dxa" w:w="2360"/>
            <w:shd w:fill="1F3864" w:val="clear"/>
            <w:tcMar>
              <w:top w:type="dxa" w:w="70"/>
              <w:left w:type="dxa" w:w="110"/>
              <w:bottom w:type="dxa" w:w="70"/>
              <w:right w:type="dxa" w:w="110"/>
            </w:tcMar>
          </w:tcPr>
          <w:p>
            <w:pPr>
              <w:spacing w:after="0"/>
            </w:pPr>
            <w:r>
              <w:rPr>
                <w:b/>
                <w:bCs/>
                <w:i w:val="false"/>
                <w:iCs w:val="false"/>
                <w:color w:val="FFFFFF"/>
                <w:sz w:val="18"/>
                <w:szCs w:val="18"/>
              </w:rPr>
              <w:t xml:space="preserve">URL</w:t>
            </w:r>
          </w:p>
        </w:tc>
        <w:tc>
          <w:tcPr>
            <w:tcW w:type="dxa" w:w="1400"/>
            <w:shd w:fill="1F3864" w:val="clear"/>
            <w:tcMar>
              <w:top w:type="dxa" w:w="70"/>
              <w:left w:type="dxa" w:w="110"/>
              <w:bottom w:type="dxa" w:w="70"/>
              <w:right w:type="dxa" w:w="110"/>
            </w:tcMar>
          </w:tcPr>
          <w:p>
            <w:pPr>
              <w:spacing w:after="0"/>
            </w:pPr>
            <w:r>
              <w:rPr>
                <w:b/>
                <w:bCs/>
                <w:i w:val="false"/>
                <w:iCs w:val="false"/>
                <w:color w:val="FFFFFF"/>
                <w:sz w:val="18"/>
                <w:szCs w:val="18"/>
              </w:rPr>
              <w:t xml:space="preserve">Super admin</w:t>
            </w:r>
          </w:p>
        </w:tc>
        <w:tc>
          <w:tcPr>
            <w:tcW w:type="dxa" w:w="1400"/>
            <w:shd w:fill="1F3864" w:val="clear"/>
            <w:tcMar>
              <w:top w:type="dxa" w:w="70"/>
              <w:left w:type="dxa" w:w="110"/>
              <w:bottom w:type="dxa" w:w="70"/>
              <w:right w:type="dxa" w:w="110"/>
            </w:tcMar>
          </w:tcPr>
          <w:p>
            <w:pPr>
              <w:spacing w:after="0"/>
            </w:pPr>
            <w:r>
              <w:rPr>
                <w:b/>
                <w:bCs/>
                <w:i w:val="false"/>
                <w:iCs w:val="false"/>
                <w:color w:val="FFFFFF"/>
                <w:sz w:val="18"/>
                <w:szCs w:val="18"/>
              </w:rPr>
              <w:t xml:space="preserve">Administrator</w:t>
            </w:r>
          </w:p>
        </w:tc>
        <w:tc>
          <w:tcPr>
            <w:tcW w:type="dxa" w:w="1400"/>
            <w:shd w:fill="1F3864" w:val="clear"/>
            <w:tcMar>
              <w:top w:type="dxa" w:w="70"/>
              <w:left w:type="dxa" w:w="110"/>
              <w:bottom w:type="dxa" w:w="70"/>
              <w:right w:type="dxa" w:w="110"/>
            </w:tcMar>
          </w:tcPr>
          <w:p>
            <w:pPr>
              <w:spacing w:after="0"/>
            </w:pPr>
            <w:r>
              <w:rPr>
                <w:b/>
                <w:bCs/>
                <w:i w:val="false"/>
                <w:iCs w:val="false"/>
                <w:color w:val="FFFFFF"/>
                <w:sz w:val="18"/>
                <w:szCs w:val="18"/>
              </w:rPr>
              <w:t xml:space="preserve">Model manager</w:t>
            </w:r>
          </w:p>
        </w:tc>
        <w:tc>
          <w:tcPr>
            <w:tcW w:type="dxa" w:w="1400"/>
            <w:shd w:fill="1F3864" w:val="clear"/>
            <w:tcMar>
              <w:top w:type="dxa" w:w="70"/>
              <w:left w:type="dxa" w:w="110"/>
              <w:bottom w:type="dxa" w:w="70"/>
              <w:right w:type="dxa" w:w="110"/>
            </w:tcMar>
          </w:tcPr>
          <w:p>
            <w:pPr>
              <w:spacing w:after="0"/>
            </w:pPr>
            <w:r>
              <w:rPr>
                <w:b/>
                <w:bCs/>
                <w:i w:val="false"/>
                <w:iCs w:val="false"/>
                <w:color w:val="FFFFFF"/>
                <w:sz w:val="18"/>
                <w:szCs w:val="18"/>
              </w:rPr>
              <w:t xml:space="preserve">Analyst</w:t>
            </w:r>
          </w:p>
        </w:tc>
        <w:tc>
          <w:tcPr>
            <w:tcW w:type="dxa" w:w="1400"/>
            <w:shd w:fill="1F3864" w:val="clear"/>
            <w:tcMar>
              <w:top w:type="dxa" w:w="70"/>
              <w:left w:type="dxa" w:w="110"/>
              <w:bottom w:type="dxa" w:w="70"/>
              <w:right w:type="dxa" w:w="110"/>
            </w:tcMar>
          </w:tcPr>
          <w:p>
            <w:pPr>
              <w:spacing w:after="0"/>
            </w:pPr>
            <w:r>
              <w:rPr>
                <w:b/>
                <w:bCs/>
                <w:i w:val="false"/>
                <w:iCs w:val="false"/>
                <w:color w:val="FFFFFF"/>
                <w:sz w:val="18"/>
                <w:szCs w:val="18"/>
              </w:rPr>
              <w:t xml:space="preserve">Board</w:t>
            </w:r>
          </w:p>
        </w:tc>
      </w:tr>
      <w:tr>
        <w:tc>
          <w:tcPr>
            <w:tcW w:type="dxa" w:w="23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/outputs/*</w:t>
            </w:r>
          </w:p>
        </w:tc>
        <w:tc>
          <w:tcPr>
            <w:tcW w:type="dxa" w:w="1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302 → admin</w:t>
            </w:r>
          </w:p>
        </w:tc>
        <w:tc>
          <w:tcPr>
            <w:tcW w:type="dxa" w:w="1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200</w:t>
            </w:r>
          </w:p>
        </w:tc>
        <w:tc>
          <w:tcPr>
            <w:tcW w:type="dxa" w:w="1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200</w:t>
            </w:r>
          </w:p>
        </w:tc>
        <w:tc>
          <w:tcPr>
            <w:tcW w:type="dxa" w:w="1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200</w:t>
            </w:r>
          </w:p>
        </w:tc>
        <w:tc>
          <w:tcPr>
            <w:tcW w:type="dxa" w:w="1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200</w:t>
            </w:r>
          </w:p>
        </w:tc>
      </w:tr>
      <w:tr>
        <w:tc>
          <w:tcPr>
            <w:tcW w:type="dxa" w:w="23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/inputs/* (GET)</w:t>
            </w:r>
          </w:p>
        </w:tc>
        <w:tc>
          <w:tcPr>
            <w:tcW w:type="dxa" w:w="1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302 → admin</w:t>
            </w:r>
          </w:p>
        </w:tc>
        <w:tc>
          <w:tcPr>
            <w:tcW w:type="dxa" w:w="1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200</w:t>
            </w:r>
          </w:p>
        </w:tc>
        <w:tc>
          <w:tcPr>
            <w:tcW w:type="dxa" w:w="1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200</w:t>
            </w:r>
          </w:p>
        </w:tc>
        <w:tc>
          <w:tcPr>
            <w:tcW w:type="dxa" w:w="1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200</w:t>
            </w:r>
          </w:p>
        </w:tc>
        <w:tc>
          <w:tcPr>
            <w:tcW w:type="dxa" w:w="1400"/>
            <w:shd w:fill="F7F9FC" w:val="clear"/>
            <w:tcMar>
              <w:top w:type="dxa" w:w="70"/>
              <w:left w:type="dxa" w:w="110"/>
              <w:bottom w:type="dxa" w:w="70"/>
              <w:right w:type="dxa" w:w="110"/>
            </w:tcMar>
          </w:tcPr>
          <w:p>
            <w:pPr>
              <w:spacing w:after="0"/>
            </w:pPr>
            <w:r>
              <w:rPr>
                <w:b/>
                <w:bCs/>
                <w:i w:val="false"/>
                <w:iCs w:val="false"/>
                <w:color w:val="000000"/>
                <w:sz w:val="18"/>
                <w:szCs w:val="18"/>
              </w:rPr>
              <w:t xml:space="preserve">403</w:t>
            </w:r>
          </w:p>
        </w:tc>
      </w:tr>
      <w:tr>
        <w:tc>
          <w:tcPr>
            <w:tcW w:type="dxa" w:w="23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/inputs/* (POST)</w:t>
            </w:r>
          </w:p>
        </w:tc>
        <w:tc>
          <w:tcPr>
            <w:tcW w:type="dxa" w:w="1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403</w:t>
            </w:r>
          </w:p>
        </w:tc>
        <w:tc>
          <w:tcPr>
            <w:tcW w:type="dxa" w:w="1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302 saved</w:t>
            </w:r>
          </w:p>
        </w:tc>
        <w:tc>
          <w:tcPr>
            <w:tcW w:type="dxa" w:w="1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302 saved</w:t>
            </w:r>
          </w:p>
        </w:tc>
        <w:tc>
          <w:tcPr>
            <w:tcW w:type="dxa" w:w="1400"/>
            <w:shd w:fill="FFFFFF" w:val="clear"/>
            <w:tcMar>
              <w:top w:type="dxa" w:w="70"/>
              <w:left w:type="dxa" w:w="110"/>
              <w:bottom w:type="dxa" w:w="70"/>
              <w:right w:type="dxa" w:w="110"/>
            </w:tcMar>
          </w:tcPr>
          <w:p>
            <w:pPr>
              <w:spacing w:after="0"/>
            </w:pPr>
            <w:r>
              <w:rPr>
                <w:b/>
                <w:bCs/>
                <w:i w:val="false"/>
                <w:iCs w:val="false"/>
                <w:color w:val="000000"/>
                <w:sz w:val="18"/>
                <w:szCs w:val="18"/>
              </w:rPr>
              <w:t xml:space="preserve">403</w:t>
            </w:r>
          </w:p>
        </w:tc>
        <w:tc>
          <w:tcPr>
            <w:tcW w:type="dxa" w:w="1400"/>
            <w:shd w:fill="FFFFFF" w:val="clear"/>
            <w:tcMar>
              <w:top w:type="dxa" w:w="70"/>
              <w:left w:type="dxa" w:w="110"/>
              <w:bottom w:type="dxa" w:w="70"/>
              <w:right w:type="dxa" w:w="110"/>
            </w:tcMar>
          </w:tcPr>
          <w:p>
            <w:pPr>
              <w:spacing w:after="0"/>
            </w:pPr>
            <w:r>
              <w:rPr>
                <w:b/>
                <w:bCs/>
                <w:i w:val="false"/>
                <w:iCs w:val="false"/>
                <w:color w:val="000000"/>
                <w:sz w:val="18"/>
                <w:szCs w:val="18"/>
              </w:rPr>
              <w:t xml:space="preserve">403</w:t>
            </w:r>
          </w:p>
        </w:tc>
      </w:tr>
      <w:tr>
        <w:tc>
          <w:tcPr>
            <w:tcW w:type="dxa" w:w="23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/models (GET)</w:t>
            </w:r>
          </w:p>
        </w:tc>
        <w:tc>
          <w:tcPr>
            <w:tcW w:type="dxa" w:w="1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302 → admin</w:t>
            </w:r>
          </w:p>
        </w:tc>
        <w:tc>
          <w:tcPr>
            <w:tcW w:type="dxa" w:w="1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200</w:t>
            </w:r>
          </w:p>
        </w:tc>
        <w:tc>
          <w:tcPr>
            <w:tcW w:type="dxa" w:w="1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200</w:t>
            </w:r>
          </w:p>
        </w:tc>
        <w:tc>
          <w:tcPr>
            <w:tcW w:type="dxa" w:w="1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200</w:t>
            </w:r>
          </w:p>
        </w:tc>
        <w:tc>
          <w:tcPr>
            <w:tcW w:type="dxa" w:w="1400"/>
            <w:shd w:fill="F7F9FC" w:val="clear"/>
            <w:tcMar>
              <w:top w:type="dxa" w:w="70"/>
              <w:left w:type="dxa" w:w="110"/>
              <w:bottom w:type="dxa" w:w="70"/>
              <w:right w:type="dxa" w:w="110"/>
            </w:tcMar>
          </w:tcPr>
          <w:p>
            <w:pPr>
              <w:spacing w:after="0"/>
            </w:pPr>
            <w:r>
              <w:rPr>
                <w:b/>
                <w:bCs/>
                <w:i w:val="false"/>
                <w:iCs w:val="false"/>
                <w:color w:val="000000"/>
                <w:sz w:val="18"/>
                <w:szCs w:val="18"/>
              </w:rPr>
              <w:t xml:space="preserve">200 — see U5</w:t>
            </w:r>
          </w:p>
        </w:tc>
      </w:tr>
      <w:tr>
        <w:tc>
          <w:tcPr>
            <w:tcW w:type="dxa" w:w="23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/models/* (POST)</w:t>
            </w:r>
          </w:p>
        </w:tc>
        <w:tc>
          <w:tcPr>
            <w:tcW w:type="dxa" w:w="1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403</w:t>
            </w:r>
          </w:p>
        </w:tc>
        <w:tc>
          <w:tcPr>
            <w:tcW w:type="dxa" w:w="1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302</w:t>
            </w:r>
          </w:p>
        </w:tc>
        <w:tc>
          <w:tcPr>
            <w:tcW w:type="dxa" w:w="1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302 (except lock)</w:t>
            </w:r>
          </w:p>
        </w:tc>
        <w:tc>
          <w:tcPr>
            <w:tcW w:type="dxa" w:w="1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403</w:t>
            </w:r>
          </w:p>
        </w:tc>
        <w:tc>
          <w:tcPr>
            <w:tcW w:type="dxa" w:w="1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403</w:t>
            </w:r>
          </w:p>
        </w:tc>
      </w:tr>
      <w:tr>
        <w:tc>
          <w:tcPr>
            <w:tcW w:type="dxa" w:w="23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/compare, /report</w:t>
            </w:r>
          </w:p>
        </w:tc>
        <w:tc>
          <w:tcPr>
            <w:tcW w:type="dxa" w:w="1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302 → admin</w:t>
            </w:r>
          </w:p>
        </w:tc>
        <w:tc>
          <w:tcPr>
            <w:tcW w:type="dxa" w:w="1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200</w:t>
            </w:r>
          </w:p>
        </w:tc>
        <w:tc>
          <w:tcPr>
            <w:tcW w:type="dxa" w:w="1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200</w:t>
            </w:r>
          </w:p>
        </w:tc>
        <w:tc>
          <w:tcPr>
            <w:tcW w:type="dxa" w:w="1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200</w:t>
            </w:r>
          </w:p>
        </w:tc>
        <w:tc>
          <w:tcPr>
            <w:tcW w:type="dxa" w:w="1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200</w:t>
            </w:r>
          </w:p>
        </w:tc>
      </w:tr>
      <w:tr>
        <w:tc>
          <w:tcPr>
            <w:tcW w:type="dxa" w:w="23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/data (GET)</w:t>
            </w:r>
          </w:p>
        </w:tc>
        <w:tc>
          <w:tcPr>
            <w:tcW w:type="dxa" w:w="1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302 → admin</w:t>
            </w:r>
          </w:p>
        </w:tc>
        <w:tc>
          <w:tcPr>
            <w:tcW w:type="dxa" w:w="1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200</w:t>
            </w:r>
          </w:p>
        </w:tc>
        <w:tc>
          <w:tcPr>
            <w:tcW w:type="dxa" w:w="1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200</w:t>
            </w:r>
          </w:p>
        </w:tc>
        <w:tc>
          <w:tcPr>
            <w:tcW w:type="dxa" w:w="1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200</w:t>
            </w:r>
          </w:p>
        </w:tc>
        <w:tc>
          <w:tcPr>
            <w:tcW w:type="dxa" w:w="1400"/>
            <w:shd w:fill="FFFFFF" w:val="clear"/>
            <w:tcMar>
              <w:top w:type="dxa" w:w="70"/>
              <w:left w:type="dxa" w:w="110"/>
              <w:bottom w:type="dxa" w:w="70"/>
              <w:right w:type="dxa" w:w="110"/>
            </w:tcMar>
          </w:tcPr>
          <w:p>
            <w:pPr>
              <w:spacing w:after="0"/>
            </w:pPr>
            <w:r>
              <w:rPr>
                <w:b/>
                <w:bCs/>
                <w:i w:val="false"/>
                <w:iCs w:val="false"/>
                <w:color w:val="000000"/>
                <w:sz w:val="18"/>
                <w:szCs w:val="18"/>
              </w:rPr>
              <w:t xml:space="preserve">403</w:t>
            </w:r>
          </w:p>
        </w:tc>
      </w:tr>
      <w:tr>
        <w:tc>
          <w:tcPr>
            <w:tcW w:type="dxa" w:w="23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/data/* (POST)</w:t>
            </w:r>
          </w:p>
        </w:tc>
        <w:tc>
          <w:tcPr>
            <w:tcW w:type="dxa" w:w="1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403</w:t>
            </w:r>
          </w:p>
        </w:tc>
        <w:tc>
          <w:tcPr>
            <w:tcW w:type="dxa" w:w="1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302</w:t>
            </w:r>
          </w:p>
        </w:tc>
        <w:tc>
          <w:tcPr>
            <w:tcW w:type="dxa" w:w="1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302</w:t>
            </w:r>
          </w:p>
        </w:tc>
        <w:tc>
          <w:tcPr>
            <w:tcW w:type="dxa" w:w="1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403</w:t>
            </w:r>
          </w:p>
        </w:tc>
        <w:tc>
          <w:tcPr>
            <w:tcW w:type="dxa" w:w="1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403</w:t>
            </w:r>
          </w:p>
        </w:tc>
      </w:tr>
      <w:tr>
        <w:tc>
          <w:tcPr>
            <w:tcW w:type="dxa" w:w="23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/admin/companies, /admin/users</w:t>
            </w:r>
          </w:p>
        </w:tc>
        <w:tc>
          <w:tcPr>
            <w:tcW w:type="dxa" w:w="1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200</w:t>
            </w:r>
          </w:p>
        </w:tc>
        <w:tc>
          <w:tcPr>
            <w:tcW w:type="dxa" w:w="1400"/>
            <w:shd w:fill="FFFFFF" w:val="clear"/>
            <w:tcMar>
              <w:top w:type="dxa" w:w="70"/>
              <w:left w:type="dxa" w:w="110"/>
              <w:bottom w:type="dxa" w:w="70"/>
              <w:right w:type="dxa" w:w="110"/>
            </w:tcMar>
          </w:tcPr>
          <w:p>
            <w:pPr>
              <w:spacing w:after="0"/>
            </w:pPr>
            <w:r>
              <w:rPr>
                <w:b/>
                <w:bCs/>
                <w:i w:val="false"/>
                <w:iCs w:val="false"/>
                <w:color w:val="000000"/>
                <w:sz w:val="18"/>
                <w:szCs w:val="18"/>
              </w:rPr>
              <w:t xml:space="preserve">403</w:t>
            </w:r>
          </w:p>
        </w:tc>
        <w:tc>
          <w:tcPr>
            <w:tcW w:type="dxa" w:w="1400"/>
            <w:shd w:fill="FFFFFF" w:val="clear"/>
            <w:tcMar>
              <w:top w:type="dxa" w:w="70"/>
              <w:left w:type="dxa" w:w="110"/>
              <w:bottom w:type="dxa" w:w="70"/>
              <w:right w:type="dxa" w:w="110"/>
            </w:tcMar>
          </w:tcPr>
          <w:p>
            <w:pPr>
              <w:spacing w:after="0"/>
            </w:pPr>
            <w:r>
              <w:rPr>
                <w:b/>
                <w:bCs/>
                <w:i w:val="false"/>
                <w:iCs w:val="false"/>
                <w:color w:val="000000"/>
                <w:sz w:val="18"/>
                <w:szCs w:val="18"/>
              </w:rPr>
              <w:t xml:space="preserve">403</w:t>
            </w:r>
          </w:p>
        </w:tc>
        <w:tc>
          <w:tcPr>
            <w:tcW w:type="dxa" w:w="1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403</w:t>
            </w:r>
          </w:p>
        </w:tc>
        <w:tc>
          <w:tcPr>
            <w:tcW w:type="dxa" w:w="1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403</w:t>
            </w:r>
          </w:p>
        </w:tc>
      </w:tr>
      <w:tr>
        <w:tc>
          <w:tcPr>
            <w:tcW w:type="dxa" w:w="23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/account</w:t>
            </w:r>
          </w:p>
        </w:tc>
        <w:tc>
          <w:tcPr>
            <w:tcW w:type="dxa" w:w="1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200</w:t>
            </w:r>
          </w:p>
        </w:tc>
        <w:tc>
          <w:tcPr>
            <w:tcW w:type="dxa" w:w="1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200</w:t>
            </w:r>
          </w:p>
        </w:tc>
        <w:tc>
          <w:tcPr>
            <w:tcW w:type="dxa" w:w="1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200</w:t>
            </w:r>
          </w:p>
        </w:tc>
        <w:tc>
          <w:tcPr>
            <w:tcW w:type="dxa" w:w="1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200</w:t>
            </w:r>
          </w:p>
        </w:tc>
        <w:tc>
          <w:tcPr>
            <w:tcW w:type="dxa" w:w="1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200</w:t>
            </w:r>
          </w:p>
        </w:tc>
      </w:tr>
    </w:tbl>
    <w:p>
      <w:pPr>
        <w:spacing w:after="80"/>
      </w:pPr>
    </w:p>
    <w:tbl>
      <w:tblPr>
        <w:tblW w:type="dxa" w:w="9360"/>
        <w:tblBorders>
          <w:top w:val="single" w:color="D5DEE8" w:sz="2"/>
          <w:left w:val="single" w:color="2E5C8A" w:sz="12"/>
          <w:bottom w:val="single" w:color="D5DEE8" w:sz="2"/>
          <w:right w:val="single" w:color="D5DEE8" w:sz="2"/>
          <w:insideH w:val="none"/>
          <w:insideV w:val="none"/>
        </w:tblBorders>
      </w:tblPr>
      <w:tblGrid>
        <w:gridCol w:w="9360"/>
      </w:tblGrid>
      <w:tr>
        <w:tc>
          <w:tcPr>
            <w:tcW w:type="dxa" w:w="9360"/>
            <w:shd w:fill="EDF2F8" w:val="clear"/>
            <w:tcMar>
              <w:top w:type="dxa" w:w="120"/>
              <w:left w:type="dxa" w:w="180"/>
              <w:bottom w:type="dxa" w:w="120"/>
              <w:right w:type="dxa" w:w="180"/>
            </w:tcMar>
          </w:tcPr>
          <w:p>
            <w:pPr>
              <w:spacing w:after="60"/>
            </w:pPr>
            <w:r>
              <w:rPr>
                <w:b/>
                <w:bCs/>
                <w:color w:val="1F3864"/>
                <w:sz w:val="20"/>
                <w:szCs w:val="20"/>
              </w:rPr>
              <w:t xml:space="preserve">Why the Super administrator is kept out of the model</w:t>
            </w:r>
          </w:p>
          <w:p>
            <w:pPr>
              <w:spacing w:after="60"/>
            </w:pPr>
            <w:r>
              <w:rPr>
                <w:sz w:val="19"/>
                <w:szCs w:val="19"/>
              </w:rPr>
              <w:t xml:space="preserve">The separation is deliberate: whoever decides who may SEE the numbers should not also be able to CHANGE them.</w:t>
            </w:r>
          </w:p>
          <w:p>
            <w:pPr>
              <w:spacing w:after="0"/>
            </w:pPr>
            <w:r>
              <w:rPr>
                <w:sz w:val="19"/>
                <w:szCs w:val="19"/>
              </w:rPr>
              <w:t xml:space="preserve">It is a hard block, not a hidden menu. A GET to any model route is redirected to /admin/companies; a POST returns 403 "This account manages access, not models". Typing the URL directly does not get past it.</w:t>
            </w:r>
          </w:p>
        </w:tc>
      </w:tr>
    </w:tbl>
    <w:p>
      <w:pPr>
        <w:spacing w:after="120"/>
      </w:pPr>
    </w:p>
    <w:p>
      <w:pPr>
        <w:pStyle w:val="Heading2"/>
        <w:spacing w:after="120" w:before="280"/>
      </w:pPr>
      <w:r>
        <w:t xml:space="preserve">4.2  Tenant isolation (multi-company)</w:t>
      </w:r>
    </w:p>
    <w:p>
      <w:pPr>
        <w:pStyle w:val="ListParagraph"/>
        <w:numPr>
          <w:ilvl w:val="0"/>
          <w:numId w:val="3"/>
        </w:numPr>
        <w:spacing w:after="60"/>
      </w:pPr>
      <w:r>
        <w:rPr>
          <w:sz w:val="20"/>
          <w:szCs w:val="20"/>
        </w:rPr>
        <w:t xml:space="preserve">Every table below the companies table belongs to exactly one company, and every query is scoped by it.</w:t>
      </w:r>
    </w:p>
    <w:p>
      <w:pPr>
        <w:pStyle w:val="ListParagraph"/>
        <w:numPr>
          <w:ilvl w:val="0"/>
          <w:numId w:val="3"/>
        </w:numPr>
        <w:spacing w:after="60"/>
      </w:pPr>
      <w:r>
        <w:rPr>
          <w:sz w:val="20"/>
          <w:szCs w:val="20"/>
        </w:rPr>
        <w:t xml:space="preserve">The active model id is held in the session and RE-VALIDATED against the user's company on every single request. A stale or tampered session cannot reach another company's model — it silently falls back to the company's own oldest active model.</w:t>
      </w:r>
    </w:p>
    <w:p>
      <w:pPr>
        <w:pStyle w:val="ListParagraph"/>
        <w:numPr>
          <w:ilvl w:val="0"/>
          <w:numId w:val="3"/>
        </w:numPr>
        <w:spacing w:after="60"/>
      </w:pPr>
      <w:r>
        <w:rPr>
          <w:sz w:val="20"/>
          <w:szCs w:val="20"/>
        </w:rPr>
        <w:t xml:space="preserve">Every write that takes an id puts the company or model in the WHERE clause, not merely in the lookup. Posting another company's row id changes nothing.</w:t>
      </w:r>
    </w:p>
    <w:p>
      <w:pPr>
        <w:pStyle w:val="ListParagraph"/>
        <w:numPr>
          <w:ilvl w:val="0"/>
          <w:numId w:val="3"/>
        </w:numPr>
        <w:spacing w:after="60"/>
      </w:pPr>
      <w:r>
        <w:rPr>
          <w:sz w:val="20"/>
          <w:szCs w:val="20"/>
        </w:rPr>
        <w:t xml:space="preserve">Sign-in is company + email. Email is unique WITHIN a company, so the same person may hold accounts at more than one company.</w:t>
      </w:r>
    </w:p>
    <w:p>
      <w:pPr>
        <w:pStyle w:val="ListParagraph"/>
        <w:numPr>
          <w:ilvl w:val="0"/>
          <w:numId w:val="3"/>
        </w:numPr>
        <w:spacing w:after="60"/>
      </w:pPr>
      <w:r>
        <w:rPr>
          <w:sz w:val="20"/>
          <w:szCs w:val="20"/>
        </w:rPr>
        <w:t xml:space="preserve">A platform administrator may "step into" another company. When they do, the active model is dropped so no model id crosses a tenant boundary, and an orange bar states which company they are acting in.</w:t>
      </w:r>
    </w:p>
    <w:p>
      <w:pPr>
        <w:spacing w:after="120"/>
      </w:pPr>
    </w:p>
    <w:p>
      <w:pPr>
        <w:pStyle w:val="Heading2"/>
        <w:spacing w:after="120" w:before="280"/>
      </w:pPr>
      <w:r>
        <w:t xml:space="preserve">4.3  The model lifecycle</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400"/>
        <w:gridCol w:w="3200"/>
        <w:gridCol w:w="4760"/>
      </w:tblGrid>
      <w:tr>
        <w:trPr>
          <w:tblHeader/>
        </w:trPr>
        <w:tc>
          <w:tcPr>
            <w:tcW w:type="dxa" w:w="1400"/>
            <w:shd w:fill="1F3864" w:val="clear"/>
            <w:tcMar>
              <w:top w:type="dxa" w:w="70"/>
              <w:left w:type="dxa" w:w="110"/>
              <w:bottom w:type="dxa" w:w="70"/>
              <w:right w:type="dxa" w:w="110"/>
            </w:tcMar>
          </w:tcPr>
          <w:p>
            <w:pPr>
              <w:spacing w:after="0"/>
            </w:pPr>
            <w:r>
              <w:rPr>
                <w:b/>
                <w:bCs/>
                <w:i w:val="false"/>
                <w:iCs w:val="false"/>
                <w:color w:val="FFFFFF"/>
                <w:sz w:val="18"/>
                <w:szCs w:val="18"/>
              </w:rPr>
              <w:t xml:space="preserve">State</w:t>
            </w:r>
          </w:p>
        </w:tc>
        <w:tc>
          <w:tcPr>
            <w:tcW w:type="dxa" w:w="3200"/>
            <w:shd w:fill="1F3864" w:val="clear"/>
            <w:tcMar>
              <w:top w:type="dxa" w:w="70"/>
              <w:left w:type="dxa" w:w="110"/>
              <w:bottom w:type="dxa" w:w="70"/>
              <w:right w:type="dxa" w:w="110"/>
            </w:tcMar>
          </w:tcPr>
          <w:p>
            <w:pPr>
              <w:spacing w:after="0"/>
            </w:pPr>
            <w:r>
              <w:rPr>
                <w:b/>
                <w:bCs/>
                <w:i w:val="false"/>
                <w:iCs w:val="false"/>
                <w:color w:val="FFFFFF"/>
                <w:sz w:val="18"/>
                <w:szCs w:val="18"/>
              </w:rPr>
              <w:t xml:space="preserve">What it means</w:t>
            </w:r>
          </w:p>
        </w:tc>
        <w:tc>
          <w:tcPr>
            <w:tcW w:type="dxa" w:w="4760"/>
            <w:shd w:fill="1F3864" w:val="clear"/>
            <w:tcMar>
              <w:top w:type="dxa" w:w="70"/>
              <w:left w:type="dxa" w:w="110"/>
              <w:bottom w:type="dxa" w:w="70"/>
              <w:right w:type="dxa" w:w="110"/>
            </w:tcMar>
          </w:tcPr>
          <w:p>
            <w:pPr>
              <w:spacing w:after="0"/>
            </w:pPr>
            <w:r>
              <w:rPr>
                <w:b/>
                <w:bCs/>
                <w:i w:val="false"/>
                <w:iCs w:val="false"/>
                <w:color w:val="FFFFFF"/>
                <w:sz w:val="18"/>
                <w:szCs w:val="18"/>
              </w:rPr>
              <w:t xml:space="preserve">What is still possible</w:t>
            </w:r>
          </w:p>
        </w:tc>
      </w:tr>
      <w:tr>
        <w:tc>
          <w:tcPr>
            <w:tcW w:type="dxa" w:w="1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Active</w:t>
            </w:r>
          </w:p>
        </w:tc>
        <w:tc>
          <w:tcPr>
            <w:tcW w:type="dxa" w:w="3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normal state.</w:t>
            </w:r>
          </w:p>
        </w:tc>
        <w:tc>
          <w:tcPr>
            <w:tcW w:type="dxa" w:w="47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Everything.</w:t>
            </w:r>
          </w:p>
        </w:tc>
      </w:tr>
      <w:tr>
        <w:tc>
          <w:tcPr>
            <w:tcW w:type="dxa" w:w="1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Not ready</w:t>
            </w:r>
          </w:p>
        </w:tc>
        <w:tc>
          <w:tcPr>
            <w:tcW w:type="dxa" w:w="3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Missing units, historical revenue, or a balanced opening sheet.</w:t>
            </w:r>
          </w:p>
        </w:tc>
        <w:tc>
          <w:tcPr>
            <w:tcW w:type="dxa" w:w="47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Everything — but the outputs will be meaningless or unbalanced. The Models screen badges it and the Open button points at the inputs rather than the outputs.</w:t>
            </w:r>
          </w:p>
        </w:tc>
      </w:tr>
      <w:tr>
        <w:tc>
          <w:tcPr>
            <w:tcW w:type="dxa" w:w="1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Closed (locked)</w:t>
            </w:r>
          </w:p>
        </w:tc>
        <w:tc>
          <w:tcPr>
            <w:tcW w:type="dxa" w:w="3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Frozen so the figures stay as they were signed off.</w:t>
            </w:r>
          </w:p>
        </w:tc>
        <w:tc>
          <w:tcPr>
            <w:tcW w:type="dxa" w:w="47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Reading, duplicating, renaming and reopening. Every write to /inputs, /outputs and /data returns 423. Add-row controls disappear. Who closed it, when, and why is recorded.</w:t>
            </w:r>
          </w:p>
        </w:tc>
      </w:tr>
      <w:tr>
        <w:tc>
          <w:tcPr>
            <w:tcW w:type="dxa" w:w="1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Archived</w:t>
            </w:r>
          </w:p>
        </w:tc>
        <w:tc>
          <w:tcPr>
            <w:tcW w:type="dxa" w:w="3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Hidden from the model switcher and from Model comparison.</w:t>
            </w:r>
          </w:p>
        </w:tc>
        <w:tc>
          <w:tcPr>
            <w:tcW w:type="dxa" w:w="47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Still listed on /models with a badge, still openable, still deletable. Not a delete.</w:t>
            </w:r>
          </w:p>
        </w:tc>
      </w:tr>
      <w:tr>
        <w:tc>
          <w:tcPr>
            <w:tcW w:type="dxa" w:w="1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Deleted</w:t>
            </w:r>
          </w:p>
        </w:tc>
        <w:tc>
          <w:tcPr>
            <w:tcW w:type="dxa" w:w="3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Gone, with every input in it, by database cascade.</w:t>
            </w:r>
          </w:p>
        </w:tc>
        <w:tc>
          <w:tcPr>
            <w:tcW w:type="dxa" w:w="47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Nothing. Requires the exact model name typed back. Refused when only one model remains.</w:t>
            </w:r>
          </w:p>
        </w:tc>
      </w:tr>
    </w:tbl>
    <w:p>
      <w:pPr>
        <w:spacing w:after="120"/>
      </w:pPr>
    </w:p>
    <w:p>
      <w:pPr>
        <w:pStyle w:val="Heading2"/>
        <w:spacing w:after="120" w:before="280"/>
      </w:pPr>
      <w:r>
        <w:t xml:space="preserve">4.4  What changes when data is added, edited or deleted</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100"/>
        <w:gridCol w:w="3000"/>
        <w:gridCol w:w="4260"/>
      </w:tblGrid>
      <w:tr>
        <w:trPr>
          <w:tblHeader/>
        </w:trPr>
        <w:tc>
          <w:tcPr>
            <w:tcW w:type="dxa" w:w="2100"/>
            <w:shd w:fill="1F3864" w:val="clear"/>
            <w:tcMar>
              <w:top w:type="dxa" w:w="70"/>
              <w:left w:type="dxa" w:w="110"/>
              <w:bottom w:type="dxa" w:w="70"/>
              <w:right w:type="dxa" w:w="110"/>
            </w:tcMar>
          </w:tcPr>
          <w:p>
            <w:pPr>
              <w:spacing w:after="0"/>
            </w:pPr>
            <w:r>
              <w:rPr>
                <w:b/>
                <w:bCs/>
                <w:i w:val="false"/>
                <w:iCs w:val="false"/>
                <w:color w:val="FFFFFF"/>
                <w:sz w:val="18"/>
                <w:szCs w:val="18"/>
              </w:rPr>
              <w:t xml:space="preserve">Action</w:t>
            </w:r>
          </w:p>
        </w:tc>
        <w:tc>
          <w:tcPr>
            <w:tcW w:type="dxa" w:w="3000"/>
            <w:shd w:fill="1F3864" w:val="clear"/>
            <w:tcMar>
              <w:top w:type="dxa" w:w="70"/>
              <w:left w:type="dxa" w:w="110"/>
              <w:bottom w:type="dxa" w:w="70"/>
              <w:right w:type="dxa" w:w="110"/>
            </w:tcMar>
          </w:tcPr>
          <w:p>
            <w:pPr>
              <w:spacing w:after="0"/>
            </w:pPr>
            <w:r>
              <w:rPr>
                <w:b/>
                <w:bCs/>
                <w:i w:val="false"/>
                <w:iCs w:val="false"/>
                <w:color w:val="FFFFFF"/>
                <w:sz w:val="18"/>
                <w:szCs w:val="18"/>
              </w:rPr>
              <w:t xml:space="preserve">Immediate effect</w:t>
            </w:r>
          </w:p>
        </w:tc>
        <w:tc>
          <w:tcPr>
            <w:tcW w:type="dxa" w:w="4260"/>
            <w:shd w:fill="1F3864" w:val="clear"/>
            <w:tcMar>
              <w:top w:type="dxa" w:w="70"/>
              <w:left w:type="dxa" w:w="110"/>
              <w:bottom w:type="dxa" w:w="70"/>
              <w:right w:type="dxa" w:w="110"/>
            </w:tcMar>
          </w:tcPr>
          <w:p>
            <w:pPr>
              <w:spacing w:after="0"/>
            </w:pPr>
            <w:r>
              <w:rPr>
                <w:b/>
                <w:bCs/>
                <w:i w:val="false"/>
                <w:iCs w:val="false"/>
                <w:color w:val="FFFFFF"/>
                <w:sz w:val="18"/>
                <w:szCs w:val="18"/>
              </w:rPr>
              <w:t xml:space="preserve">Knock-on effects</w:t>
            </w:r>
          </w:p>
        </w:tc>
      </w:tr>
      <w:tr>
        <w:tc>
          <w:tcPr>
            <w:tcW w:type="dxa" w:w="2100"/>
            <w:shd w:fill="FFFFFF" w:val="clear"/>
            <w:tcMar>
              <w:top w:type="dxa" w:w="70"/>
              <w:left w:type="dxa" w:w="110"/>
              <w:bottom w:type="dxa" w:w="70"/>
              <w:right w:type="dxa" w:w="110"/>
            </w:tcMar>
          </w:tcPr>
          <w:p>
            <w:pPr>
              <w:spacing w:after="0"/>
            </w:pPr>
            <w:r>
              <w:rPr>
                <w:b/>
                <w:bCs/>
                <w:i w:val="false"/>
                <w:iCs w:val="false"/>
                <w:color w:val="000000"/>
                <w:sz w:val="18"/>
                <w:szCs w:val="18"/>
              </w:rPr>
              <w:t xml:space="preserve">Add a business unit</w:t>
            </w:r>
          </w:p>
        </w:tc>
        <w:tc>
          <w:tcPr>
            <w:tcW w:type="dxa" w:w="3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Unit created with blank driver rows for all 3 scenarios × all forecast years.</w:t>
            </w:r>
          </w:p>
        </w:tc>
        <w:tc>
          <w:tcPr>
            <w:tcW w:type="dxa" w:w="4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New empty column blocks appear on steps 4, 5 and 6; it becomes selectable as an initiative owner and as a segment; the revenue-mix denominator changes; every unit's allocation share changes.</w:t>
            </w:r>
          </w:p>
        </w:tc>
      </w:tr>
      <w:tr>
        <w:tc>
          <w:tcPr>
            <w:tcW w:type="dxa" w:w="2100"/>
            <w:shd w:fill="F7F9FC" w:val="clear"/>
            <w:tcMar>
              <w:top w:type="dxa" w:w="70"/>
              <w:left w:type="dxa" w:w="110"/>
              <w:bottom w:type="dxa" w:w="70"/>
              <w:right w:type="dxa" w:w="110"/>
            </w:tcMar>
          </w:tcPr>
          <w:p>
            <w:pPr>
              <w:spacing w:after="0"/>
            </w:pPr>
            <w:r>
              <w:rPr>
                <w:b/>
                <w:bCs/>
                <w:i w:val="false"/>
                <w:iCs w:val="false"/>
                <w:color w:val="000000"/>
                <w:sz w:val="18"/>
                <w:szCs w:val="18"/>
              </w:rPr>
              <w:t xml:space="preserve">Rename a business unit</w:t>
            </w:r>
          </w:p>
        </w:tc>
        <w:tc>
          <w:tcPr>
            <w:tcW w:type="dxa" w:w="3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Name only. Matched by id, so all data survives.</w:t>
            </w:r>
          </w:p>
        </w:tc>
        <w:tc>
          <w:tcPr>
            <w:tcW w:type="dxa" w:w="4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If it was the model's default segment, the reference is kept only while the name matches; step 1 resets the default to "Total" when the old name no longer exists.</w:t>
            </w:r>
          </w:p>
        </w:tc>
      </w:tr>
      <w:tr>
        <w:tc>
          <w:tcPr>
            <w:tcW w:type="dxa" w:w="2100"/>
            <w:shd w:fill="FDECEC" w:val="clear"/>
            <w:tcMar>
              <w:top w:type="dxa" w:w="70"/>
              <w:left w:type="dxa" w:w="110"/>
              <w:bottom w:type="dxa" w:w="70"/>
              <w:right w:type="dxa" w:w="110"/>
            </w:tcMar>
          </w:tcPr>
          <w:p>
            <w:pPr>
              <w:spacing w:after="0"/>
            </w:pPr>
            <w:r>
              <w:rPr>
                <w:b/>
                <w:bCs/>
                <w:i w:val="false"/>
                <w:iCs w:val="false"/>
                <w:color w:val="000000"/>
                <w:sz w:val="18"/>
                <w:szCs w:val="18"/>
              </w:rPr>
              <w:t xml:space="preserve">Delete a business unit (clear its name)</w:t>
            </w:r>
          </w:p>
        </w:tc>
        <w:tc>
          <w:tcPr>
            <w:tcW w:type="dxa" w:w="3000"/>
            <w:shd w:fill="FFFFFF" w:val="clear"/>
            <w:tcMar>
              <w:top w:type="dxa" w:w="70"/>
              <w:left w:type="dxa" w:w="110"/>
              <w:bottom w:type="dxa" w:w="70"/>
              <w:right w:type="dxa" w:w="110"/>
            </w:tcMar>
          </w:tcPr>
          <w:p>
            <w:pPr>
              <w:spacing w:after="0"/>
            </w:pPr>
            <w:r>
              <w:rPr>
                <w:b/>
                <w:bCs/>
                <w:i w:val="false"/>
                <w:iCs w:val="false"/>
                <w:color w:val="000000"/>
                <w:sz w:val="18"/>
                <w:szCs w:val="18"/>
              </w:rPr>
              <w:t xml:space="preserve">Unit deleted immediately, with no confirmation.</w:t>
            </w:r>
          </w:p>
        </w:tc>
        <w:tc>
          <w:tcPr>
            <w:tcW w:type="dxa" w:w="4260"/>
            <w:shd w:fill="FFFFFF" w:val="clear"/>
            <w:tcMar>
              <w:top w:type="dxa" w:w="70"/>
              <w:left w:type="dxa" w:w="110"/>
              <w:bottom w:type="dxa" w:w="70"/>
              <w:right w:type="dxa" w:w="110"/>
            </w:tcMar>
          </w:tcPr>
          <w:p>
            <w:pPr>
              <w:spacing w:after="0"/>
            </w:pPr>
            <w:r>
              <w:rPr>
                <w:b/>
                <w:bCs/>
                <w:i w:val="false"/>
                <w:iCs w:val="false"/>
                <w:color w:val="000000"/>
                <w:sz w:val="18"/>
                <w:szCs w:val="18"/>
              </w:rPr>
              <w:t xml:space="preserve">CASCADE DELETES its actuals, its drivers and any initiative owned by it, with its initiative years and probabilities. Allocation shares for every remaining unit change. Irreversible.</w:t>
            </w:r>
          </w:p>
        </w:tc>
      </w:tr>
      <w:tr>
        <w:tc>
          <w:tcPr>
            <w:tcW w:type="dxa" w:w="2100"/>
            <w:shd w:fill="F7F9FC" w:val="clear"/>
            <w:tcMar>
              <w:top w:type="dxa" w:w="70"/>
              <w:left w:type="dxa" w:w="110"/>
              <w:bottom w:type="dxa" w:w="70"/>
              <w:right w:type="dxa" w:w="110"/>
            </w:tcMar>
          </w:tcPr>
          <w:p>
            <w:pPr>
              <w:spacing w:after="0"/>
            </w:pPr>
            <w:r>
              <w:rPr>
                <w:b/>
                <w:bCs/>
                <w:i w:val="false"/>
                <w:iCs w:val="false"/>
                <w:color w:val="000000"/>
                <w:sz w:val="18"/>
                <w:szCs w:val="18"/>
              </w:rPr>
              <w:t xml:space="preserve">Change historical revenue for the last actual year</w:t>
            </w:r>
          </w:p>
        </w:tc>
        <w:tc>
          <w:tcPr>
            <w:tcW w:type="dxa" w:w="3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base the forecast grows from.</w:t>
            </w:r>
          </w:p>
        </w:tc>
        <w:tc>
          <w:tcPr>
            <w:tcW w:type="dxa" w:w="4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Every forecast year of organic revenue moves; the allocation share of every unit moves; every segment view changes; the Actual analysis bridge and CAGR change.</w:t>
            </w:r>
          </w:p>
        </w:tc>
      </w:tr>
      <w:tr>
        <w:tc>
          <w:tcPr>
            <w:tcW w:type="dxa" w:w="2100"/>
            <w:shd w:fill="FFFFFF" w:val="clear"/>
            <w:tcMar>
              <w:top w:type="dxa" w:w="70"/>
              <w:left w:type="dxa" w:w="110"/>
              <w:bottom w:type="dxa" w:w="70"/>
              <w:right w:type="dxa" w:w="110"/>
            </w:tcMar>
          </w:tcPr>
          <w:p>
            <w:pPr>
              <w:spacing w:after="0"/>
            </w:pPr>
            <w:r>
              <w:rPr>
                <w:b/>
                <w:bCs/>
                <w:i w:val="false"/>
                <w:iCs w:val="false"/>
                <w:color w:val="000000"/>
                <w:sz w:val="18"/>
                <w:szCs w:val="18"/>
              </w:rPr>
              <w:t xml:space="preserve">Change a growth or cost driver</w:t>
            </w:r>
          </w:p>
        </w:tc>
        <w:tc>
          <w:tcPr>
            <w:tcW w:type="dxa" w:w="3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That unit, that scenario, that year.</w:t>
            </w:r>
          </w:p>
        </w:tc>
        <w:tc>
          <w:tcPr>
            <w:tcW w:type="dxa" w:w="4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Compounds into every later year. Only visible when viewing that scenario.</w:t>
            </w:r>
          </w:p>
        </w:tc>
      </w:tr>
      <w:tr>
        <w:tc>
          <w:tcPr>
            <w:tcW w:type="dxa" w:w="2100"/>
            <w:shd w:fill="F7F9FC" w:val="clear"/>
            <w:tcMar>
              <w:top w:type="dxa" w:w="70"/>
              <w:left w:type="dxa" w:w="110"/>
              <w:bottom w:type="dxa" w:w="70"/>
              <w:right w:type="dxa" w:w="110"/>
            </w:tcMar>
          </w:tcPr>
          <w:p>
            <w:pPr>
              <w:spacing w:after="0"/>
            </w:pPr>
            <w:r>
              <w:rPr>
                <w:b/>
                <w:bCs/>
                <w:i w:val="false"/>
                <w:iCs w:val="false"/>
                <w:color w:val="000000"/>
                <w:sz w:val="18"/>
                <w:szCs w:val="18"/>
              </w:rPr>
              <w:t xml:space="preserve">Change the opening balance sheet</w:t>
            </w:r>
          </w:p>
        </w:tc>
        <w:tc>
          <w:tcPr>
            <w:tcW w:type="dxa" w:w="3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opening column and the balance check.</w:t>
            </w:r>
          </w:p>
        </w:tc>
        <w:tc>
          <w:tcPr>
            <w:tcW w:type="dxa" w:w="4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Rolls into every forecast year: interest (via debt), depreciation (via net PP&amp;E), zakat (via equity and net PP&amp;E), cash. If it stops balancing, every output screen shows a red banner.</w:t>
            </w:r>
          </w:p>
        </w:tc>
      </w:tr>
      <w:tr>
        <w:tc>
          <w:tcPr>
            <w:tcW w:type="dxa" w:w="2100"/>
            <w:shd w:fill="FFFFFF" w:val="clear"/>
            <w:tcMar>
              <w:top w:type="dxa" w:w="70"/>
              <w:left w:type="dxa" w:w="110"/>
              <w:bottom w:type="dxa" w:w="70"/>
              <w:right w:type="dxa" w:w="110"/>
            </w:tcMar>
          </w:tcPr>
          <w:p>
            <w:pPr>
              <w:spacing w:after="0"/>
            </w:pPr>
            <w:r>
              <w:rPr>
                <w:b/>
                <w:bCs/>
                <w:i w:val="false"/>
                <w:iCs w:val="false"/>
                <w:color w:val="000000"/>
                <w:sz w:val="18"/>
                <w:szCs w:val="18"/>
              </w:rPr>
              <w:t xml:space="preserve">Add or edit a facility</w:t>
            </w:r>
          </w:p>
        </w:tc>
        <w:tc>
          <w:tcPr>
            <w:tcW w:type="dxa" w:w="3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Every facility is deleted and re-inserted; ids change.</w:t>
            </w:r>
          </w:p>
        </w:tc>
        <w:tc>
          <w:tcPr>
            <w:tcW w:type="dxa" w:w="4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Interest expense, the debt reconciliation, the balance sheet, and possibly the revolver. If named facilities now exceed the opening sheet, the debt check fails.</w:t>
            </w:r>
          </w:p>
        </w:tc>
      </w:tr>
      <w:tr>
        <w:tc>
          <w:tcPr>
            <w:tcW w:type="dxa" w:w="2100"/>
            <w:shd w:fill="F7F9FC" w:val="clear"/>
            <w:tcMar>
              <w:top w:type="dxa" w:w="70"/>
              <w:left w:type="dxa" w:w="110"/>
              <w:bottom w:type="dxa" w:w="70"/>
              <w:right w:type="dxa" w:w="110"/>
            </w:tcMar>
          </w:tcPr>
          <w:p>
            <w:pPr>
              <w:spacing w:after="0"/>
            </w:pPr>
            <w:r>
              <w:rPr>
                <w:b/>
                <w:bCs/>
                <w:i w:val="false"/>
                <w:iCs w:val="false"/>
                <w:color w:val="000000"/>
                <w:sz w:val="18"/>
                <w:szCs w:val="18"/>
              </w:rPr>
              <w:t xml:space="preserve">Add or edit an initiative</w:t>
            </w:r>
          </w:p>
        </w:tc>
        <w:tc>
          <w:tcPr>
            <w:tcW w:type="dxa" w:w="3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All initiatives are replaced; ids change.</w:t>
            </w:r>
          </w:p>
        </w:tc>
        <w:tc>
          <w:tcPr>
            <w:tcW w:type="dxa" w:w="4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Revenue, costs, EBITDA and capex of its owning unit — or the group, if company-wide. Revenue mix. Depreciation via capitalised capex. NPV/IRR panel. Any per-initiative scenario selection is re-keyed.</w:t>
            </w:r>
          </w:p>
        </w:tc>
      </w:tr>
      <w:tr>
        <w:tc>
          <w:tcPr>
            <w:tcW w:type="dxa" w:w="2100"/>
            <w:shd w:fill="FFFFFF" w:val="clear"/>
            <w:tcMar>
              <w:top w:type="dxa" w:w="70"/>
              <w:left w:type="dxa" w:w="110"/>
              <w:bottom w:type="dxa" w:w="70"/>
              <w:right w:type="dxa" w:w="110"/>
            </w:tcMar>
          </w:tcPr>
          <w:p>
            <w:pPr>
              <w:spacing w:after="0"/>
            </w:pPr>
            <w:r>
              <w:rPr>
                <w:b/>
                <w:bCs/>
                <w:i w:val="false"/>
                <w:iCs w:val="false"/>
                <w:color w:val="000000"/>
                <w:sz w:val="18"/>
                <w:szCs w:val="18"/>
              </w:rPr>
              <w:t xml:space="preserve">Add an itemised asset against an initiative</w:t>
            </w:r>
          </w:p>
        </w:tc>
        <w:tc>
          <w:tcPr>
            <w:tcW w:type="dxa" w:w="3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Asset registered.</w:t>
            </w:r>
          </w:p>
        </w:tc>
        <w:tc>
          <w:tcPr>
            <w:tcW w:type="dxa" w:w="4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That initiative's step-8 capex line is now IGNORED entirely — the register supersedes it. Depreciation switches to the asset's own class, life and rate.</w:t>
            </w:r>
          </w:p>
        </w:tc>
      </w:tr>
      <w:tr>
        <w:tc>
          <w:tcPr>
            <w:tcW w:type="dxa" w:w="2100"/>
            <w:shd w:fill="F7F9FC" w:val="clear"/>
            <w:tcMar>
              <w:top w:type="dxa" w:w="70"/>
              <w:left w:type="dxa" w:w="110"/>
              <w:bottom w:type="dxa" w:w="70"/>
              <w:right w:type="dxa" w:w="110"/>
            </w:tcMar>
          </w:tcPr>
          <w:p>
            <w:pPr>
              <w:spacing w:after="0"/>
            </w:pPr>
            <w:r>
              <w:rPr>
                <w:b/>
                <w:bCs/>
                <w:i w:val="false"/>
                <w:iCs w:val="false"/>
                <w:color w:val="000000"/>
                <w:sz w:val="18"/>
                <w:szCs w:val="18"/>
              </w:rPr>
              <w:t xml:space="preserve">Add a user-defined statement row</w:t>
            </w:r>
          </w:p>
        </w:tc>
        <w:tc>
          <w:tcPr>
            <w:tcW w:type="dxa" w:w="3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row appears above its subtotal.</w:t>
            </w:r>
          </w:p>
        </w:tc>
        <w:tc>
          <w:tcPr>
            <w:tcW w:type="dxa" w:w="4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subtotal and everything below it move. The counterparty moves cash and/or equity so the balance sheet still ties. Rows on the cash flow also appear on the liquidity statement.</w:t>
            </w:r>
          </w:p>
        </w:tc>
      </w:tr>
      <w:tr>
        <w:tc>
          <w:tcPr>
            <w:tcW w:type="dxa" w:w="2100"/>
            <w:shd w:fill="FFFFFF" w:val="clear"/>
            <w:tcMar>
              <w:top w:type="dxa" w:w="70"/>
              <w:left w:type="dxa" w:w="110"/>
              <w:bottom w:type="dxa" w:w="70"/>
              <w:right w:type="dxa" w:w="110"/>
            </w:tcMar>
          </w:tcPr>
          <w:p>
            <w:pPr>
              <w:spacing w:after="0"/>
            </w:pPr>
            <w:r>
              <w:rPr>
                <w:b/>
                <w:bCs/>
                <w:i w:val="false"/>
                <w:iCs w:val="false"/>
                <w:color w:val="000000"/>
                <w:sz w:val="18"/>
                <w:szCs w:val="18"/>
              </w:rPr>
              <w:t xml:space="preserve">Approve a staged import</w:t>
            </w:r>
          </w:p>
        </w:tc>
        <w:tc>
          <w:tcPr>
            <w:tcW w:type="dxa" w:w="3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Values written into the model.</w:t>
            </w:r>
          </w:p>
        </w:tc>
        <w:tc>
          <w:tcPr>
            <w:tcW w:type="dxa" w:w="4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OVERWRITES existing values for the same unit / line / year. Recalculates everything downstream. Audit entry written.</w:t>
            </w:r>
          </w:p>
        </w:tc>
      </w:tr>
      <w:tr>
        <w:tc>
          <w:tcPr>
            <w:tcW w:type="dxa" w:w="2100"/>
            <w:shd w:fill="FDECEC" w:val="clear"/>
            <w:tcMar>
              <w:top w:type="dxa" w:w="70"/>
              <w:left w:type="dxa" w:w="110"/>
              <w:bottom w:type="dxa" w:w="70"/>
              <w:right w:type="dxa" w:w="110"/>
            </w:tcMar>
          </w:tcPr>
          <w:p>
            <w:pPr>
              <w:spacing w:after="0"/>
            </w:pPr>
            <w:r>
              <w:rPr>
                <w:b/>
                <w:bCs/>
                <w:i w:val="false"/>
                <w:iCs w:val="false"/>
                <w:color w:val="000000"/>
                <w:sz w:val="18"/>
                <w:szCs w:val="18"/>
              </w:rPr>
              <w:t xml:space="preserve">Delete a model</w:t>
            </w:r>
          </w:p>
        </w:tc>
        <w:tc>
          <w:tcPr>
            <w:tcW w:type="dxa" w:w="3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Model row deleted.</w:t>
            </w:r>
          </w:p>
        </w:tc>
        <w:tc>
          <w:tcPr>
            <w:tcW w:type="dxa" w:w="4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CASCADE DELETES units, actuals, drivers, assumptions, opening balances, debt and schedules, initiatives, taxes, provisions, capex assets, custom rows and the audit log. Irreversible.</w:t>
            </w:r>
          </w:p>
        </w:tc>
      </w:tr>
      <w:tr>
        <w:tc>
          <w:tcPr>
            <w:tcW w:type="dxa" w:w="2100"/>
            <w:shd w:fill="FFFFFF" w:val="clear"/>
            <w:tcMar>
              <w:top w:type="dxa" w:w="70"/>
              <w:left w:type="dxa" w:w="110"/>
              <w:bottom w:type="dxa" w:w="70"/>
              <w:right w:type="dxa" w:w="110"/>
            </w:tcMar>
          </w:tcPr>
          <w:p>
            <w:pPr>
              <w:spacing w:after="0"/>
            </w:pPr>
            <w:r>
              <w:rPr>
                <w:b/>
                <w:bCs/>
                <w:i w:val="false"/>
                <w:iCs w:val="false"/>
                <w:color w:val="000000"/>
                <w:sz w:val="18"/>
                <w:szCs w:val="18"/>
              </w:rPr>
              <w:t xml:space="preserve">Delete a company (database only)</w:t>
            </w:r>
          </w:p>
        </w:tc>
        <w:tc>
          <w:tcPr>
            <w:tcW w:type="dxa" w:w="3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 UI exists for this.</w:t>
            </w:r>
          </w:p>
        </w:tc>
        <w:tc>
          <w:tcPr>
            <w:tcW w:type="dxa" w:w="4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Would cascade to users, models and everything below. Not reachable from the product.</w:t>
            </w:r>
          </w:p>
        </w:tc>
      </w:tr>
    </w:tbl>
    <w:p>
      <w:pPr>
        <w:spacing w:after="120"/>
      </w:pPr>
    </w:p>
    <w:p>
      <w:pPr>
        <w:pStyle w:val="Heading2"/>
        <w:spacing w:after="120" w:before="280"/>
      </w:pPr>
      <w:r>
        <w:t xml:space="preserve">4.5  Cross-page dependencies</w:t>
      </w:r>
    </w:p>
    <w:p>
      <w:pPr>
        <w:spacing w:after="120"/>
      </w:pPr>
      <w:r>
        <w:rPr>
          <w:b w:val="false"/>
          <w:bCs w:val="false"/>
          <w:i w:val="false"/>
          <w:iCs w:val="false"/>
          <w:sz w:val="20"/>
          <w:szCs w:val="20"/>
        </w:rPr>
        <w:t xml:space="preserve">The dependency chain a tester needs in their head. An arrow means "feeds into".</w:t>
      </w:r>
    </w:p>
    <w:p>
      <w:pPr>
        <w:shd w:fill="F7F9FC" w:val="clear"/>
        <w:spacing w:after="120" w:before="40"/>
        <w:ind w:left="260"/>
      </w:pPr>
      <w:r>
        <w:rPr>
          <w:rFonts w:ascii="Consolas" w:cs="Consolas" w:eastAsia="Consolas" w:hAnsi="Consolas"/>
          <w:sz w:val="18"/>
          <w:szCs w:val="18"/>
        </w:rPr>
        <w:t xml:space="preserve">Step 1 units  →  steps 4, 5, 6, 8 (per-unit grids)  →  allocation share  →  every segment view</w:t>
      </w:r>
    </w:p>
    <w:p>
      <w:pPr>
        <w:shd w:fill="F7F9FC" w:val="clear"/>
        <w:spacing w:after="120" w:before="40"/>
        <w:ind w:left="260"/>
      </w:pPr>
      <w:r>
        <w:rPr>
          <w:rFonts w:ascii="Consolas" w:cs="Consolas" w:eastAsia="Consolas" w:hAnsi="Consolas"/>
          <w:sz w:val="18"/>
          <w:szCs w:val="18"/>
        </w:rPr>
        <w:t xml:space="preserve">Step 4 last actual revenue  →  organic growth base  →  ALL forecast revenue</w:t>
      </w:r>
    </w:p>
    <w:p>
      <w:pPr>
        <w:shd w:fill="F7F9FC" w:val="clear"/>
        <w:spacing w:after="120" w:before="40"/>
        <w:ind w:left="260"/>
      </w:pPr>
      <w:r>
        <w:rPr>
          <w:rFonts w:ascii="Consolas" w:cs="Consolas" w:eastAsia="Consolas" w:hAnsi="Consolas"/>
          <w:sz w:val="18"/>
          <w:szCs w:val="18"/>
        </w:rPr>
        <w:t xml:space="preserve">Step 4 last actual revenue  →  allocation share  →  interest / zakat / dividends in unit views</w:t>
      </w:r>
    </w:p>
    <w:p>
      <w:pPr>
        <w:shd w:fill="F7F9FC" w:val="clear"/>
        <w:spacing w:after="120" w:before="40"/>
        <w:ind w:left="260"/>
      </w:pPr>
      <w:r>
        <w:rPr>
          <w:rFonts w:ascii="Consolas" w:cs="Consolas" w:eastAsia="Consolas" w:hAnsi="Consolas"/>
          <w:sz w:val="18"/>
          <w:szCs w:val="18"/>
        </w:rPr>
        <w:t xml:space="preserve">Step 2 inflation  →  fixed costs on step 6  →  EBITDA</w:t>
      </w:r>
    </w:p>
    <w:p>
      <w:pPr>
        <w:shd w:fill="F7F9FC" w:val="clear"/>
        <w:spacing w:after="120" w:before="40"/>
        <w:ind w:left="260"/>
      </w:pPr>
      <w:r>
        <w:rPr>
          <w:rFonts w:ascii="Consolas" w:cs="Consolas" w:eastAsia="Consolas" w:hAnsi="Consolas"/>
          <w:sz w:val="18"/>
          <w:szCs w:val="18"/>
        </w:rPr>
        <w:t xml:space="preserve">Step 2 levies  →  zakat expense  →  net profit  →  retained earnings  →  balance sheet</w:t>
      </w:r>
    </w:p>
    <w:p>
      <w:pPr>
        <w:shd w:fill="F7F9FC" w:val="clear"/>
        <w:spacing w:after="120" w:before="40"/>
        <w:ind w:left="260"/>
      </w:pPr>
      <w:r>
        <w:rPr>
          <w:rFonts w:ascii="Consolas" w:cs="Consolas" w:eastAsia="Consolas" w:hAnsi="Consolas"/>
          <w:sz w:val="18"/>
          <w:szCs w:val="18"/>
        </w:rPr>
        <w:t xml:space="preserve">Step 3 day counts  →  balance sheet working capital  →  cash flow movements  →  cash</w:t>
      </w:r>
    </w:p>
    <w:p>
      <w:pPr>
        <w:shd w:fill="F7F9FC" w:val="clear"/>
        <w:spacing w:after="120" w:before="40"/>
        <w:ind w:left="260"/>
      </w:pPr>
      <w:r>
        <w:rPr>
          <w:rFonts w:ascii="Consolas" w:cs="Consolas" w:eastAsia="Consolas" w:hAnsi="Consolas"/>
          <w:sz w:val="18"/>
          <w:szCs w:val="18"/>
        </w:rPr>
        <w:t xml:space="preserve">Step 7 facilities + step 10 debt  →  debt reconciliation check  →  red banner on every output</w:t>
      </w:r>
    </w:p>
    <w:p>
      <w:pPr>
        <w:shd w:fill="F7F9FC" w:val="clear"/>
        <w:spacing w:after="120" w:before="40"/>
        <w:ind w:left="260"/>
      </w:pPr>
      <w:r>
        <w:rPr>
          <w:rFonts w:ascii="Consolas" w:cs="Consolas" w:eastAsia="Consolas" w:hAnsi="Consolas"/>
          <w:sz w:val="18"/>
          <w:szCs w:val="18"/>
        </w:rPr>
        <w:t xml:space="preserve">Step 7 min cash  →  revolver sweep  →  closing cash  →  next year interest income</w:t>
      </w:r>
    </w:p>
    <w:p>
      <w:pPr>
        <w:shd w:fill="F7F9FC" w:val="clear"/>
        <w:spacing w:after="120" w:before="40"/>
        <w:ind w:left="260"/>
      </w:pPr>
      <w:r>
        <w:rPr>
          <w:rFonts w:ascii="Consolas" w:cs="Consolas" w:eastAsia="Consolas" w:hAnsi="Consolas"/>
          <w:sz w:val="18"/>
          <w:szCs w:val="18"/>
        </w:rPr>
        <w:t xml:space="preserve">Step 8 initiatives  →  revenue, costs, capex  →  revenue mix, NPV/IRR panel</w:t>
      </w:r>
    </w:p>
    <w:p>
      <w:pPr>
        <w:shd w:fill="F7F9FC" w:val="clear"/>
        <w:spacing w:after="120" w:before="40"/>
        <w:ind w:left="260"/>
      </w:pPr>
      <w:r>
        <w:rPr>
          <w:rFonts w:ascii="Consolas" w:cs="Consolas" w:eastAsia="Consolas" w:hAnsi="Consolas"/>
          <w:sz w:val="18"/>
          <w:szCs w:val="18"/>
        </w:rPr>
        <w:t xml:space="preserve">Step 9 asset register  →  SUPERSEDES step 8 capex for that initiative</w:t>
      </w:r>
    </w:p>
    <w:p>
      <w:pPr>
        <w:shd w:fill="F7F9FC" w:val="clear"/>
        <w:spacing w:after="120" w:before="40"/>
        <w:ind w:left="260"/>
      </w:pPr>
      <w:r>
        <w:rPr>
          <w:rFonts w:ascii="Consolas" w:cs="Consolas" w:eastAsia="Consolas" w:hAnsi="Consolas"/>
          <w:sz w:val="18"/>
          <w:szCs w:val="18"/>
        </w:rPr>
        <w:t xml:space="preserve">Step 10 opening sheet  →  EVERY forecast balance-sheet line, interest, zakat base, depreciation</w:t>
      </w:r>
    </w:p>
    <w:p>
      <w:pPr>
        <w:spacing w:after="80"/>
      </w:pPr>
    </w:p>
    <w:tbl>
      <w:tblPr>
        <w:tblW w:type="dxa" w:w="9360"/>
        <w:tblBorders>
          <w:top w:val="single" w:color="D5DEE8" w:sz="2"/>
          <w:left w:val="single" w:color="D48806" w:sz="12"/>
          <w:bottom w:val="single" w:color="D5DEE8" w:sz="2"/>
          <w:right w:val="single" w:color="D5DEE8" w:sz="2"/>
          <w:insideH w:val="none"/>
          <w:insideV w:val="none"/>
        </w:tblBorders>
      </w:tblPr>
      <w:tblGrid>
        <w:gridCol w:w="9360"/>
      </w:tblGrid>
      <w:tr>
        <w:tc>
          <w:tcPr>
            <w:tcW w:type="dxa" w:w="9360"/>
            <w:shd w:fill="FFF4E0" w:val="clear"/>
            <w:tcMar>
              <w:top w:type="dxa" w:w="120"/>
              <w:left w:type="dxa" w:w="180"/>
              <w:bottom w:type="dxa" w:w="120"/>
              <w:right w:type="dxa" w:w="180"/>
            </w:tcMar>
          </w:tcPr>
          <w:p>
            <w:pPr>
              <w:spacing w:after="60"/>
            </w:pPr>
            <w:r>
              <w:rPr>
                <w:b/>
                <w:bCs/>
                <w:color w:val="1F3864"/>
                <w:sz w:val="20"/>
                <w:szCs w:val="20"/>
              </w:rPr>
              <w:t xml:space="preserve">Shared database rows — a trap for partial-post testing</w:t>
            </w:r>
          </w:p>
          <w:p>
            <w:pPr>
              <w:spacing w:after="60"/>
            </w:pPr>
            <w:r>
              <w:rPr>
                <w:sz w:val="19"/>
                <w:szCs w:val="19"/>
              </w:rPr>
              <w:t xml:space="preserve">Inflation (step 2), the working-capital day counts (step 3) and maintenance capex (step 9) all live in ONE row per forecast year.</w:t>
            </w:r>
          </w:p>
          <w:p>
            <w:pPr>
              <w:spacing w:after="0"/>
            </w:pPr>
            <w:r>
              <w:rPr>
                <w:sz w:val="19"/>
                <w:szCs w:val="19"/>
              </w:rPr>
              <w:t xml:space="preserve">Each of those three screens merges rather than overwrites, so saving one does not wipe the other two. Any test that posts a partial body directly to these endpoints must account for this.</w:t>
            </w:r>
          </w:p>
        </w:tc>
      </w:tr>
    </w:tbl>
    <w:p>
      <w:pPr>
        <w:spacing w:after="120"/>
      </w:pPr>
    </w:p>
    <w:p>
      <w:pPr>
        <w:pStyle w:val="Heading2"/>
        <w:spacing w:after="120" w:before="280"/>
      </w:pPr>
      <w:r>
        <w:t xml:space="preserve">4.6  Rules the engine enforces that a tester should verify</w:t>
      </w:r>
    </w:p>
    <w:p>
      <w:pPr>
        <w:pStyle w:val="ListParagraph"/>
        <w:numPr>
          <w:ilvl w:val="0"/>
          <w:numId w:val="3"/>
        </w:numPr>
        <w:spacing w:after="60"/>
      </w:pPr>
      <w:r>
        <w:rPr>
          <w:sz w:val="20"/>
          <w:szCs w:val="20"/>
        </w:rPr>
        <w:t xml:space="preserve">The balance sheet balances in every forecast year, by construction, provided the opening sheet balances.</w:t>
      </w:r>
    </w:p>
    <w:p>
      <w:pPr>
        <w:pStyle w:val="ListParagraph"/>
        <w:numPr>
          <w:ilvl w:val="0"/>
          <w:numId w:val="3"/>
        </w:numPr>
        <w:spacing w:after="60"/>
      </w:pPr>
      <w:r>
        <w:rPr>
          <w:sz w:val="20"/>
          <w:szCs w:val="20"/>
        </w:rPr>
        <w:t xml:space="preserve">Business-unit views sum EXACTLY to the group. Down to EBIT a unit reports its own figures; below EBIT it carries its allocated share. Because the shares sum to 1, the units reconstruct the group to the cent.</w:t>
      </w:r>
    </w:p>
    <w:p>
      <w:pPr>
        <w:pStyle w:val="ListParagraph"/>
        <w:numPr>
          <w:ilvl w:val="0"/>
          <w:numId w:val="3"/>
        </w:numPr>
        <w:spacing w:after="60"/>
      </w:pPr>
      <w:r>
        <w:rPr>
          <w:sz w:val="20"/>
          <w:szCs w:val="20"/>
        </w:rPr>
        <w:t xml:space="preserve">Revenue mix always sums to 100%, including when a company-wide initiative exists (it gets its own line).</w:t>
      </w:r>
    </w:p>
    <w:p>
      <w:pPr>
        <w:pStyle w:val="ListParagraph"/>
        <w:numPr>
          <w:ilvl w:val="0"/>
          <w:numId w:val="3"/>
        </w:numPr>
        <w:spacing w:after="60"/>
      </w:pPr>
      <w:r>
        <w:rPr>
          <w:sz w:val="20"/>
          <w:szCs w:val="20"/>
        </w:rPr>
        <w:t xml:space="preserve">Aggregation sums AMOUNTS and never averages percentages. A blended cost ratio is derived from the summed amounts, so a unit with little or no revenue cannot distort it.</w:t>
      </w:r>
    </w:p>
    <w:p>
      <w:pPr>
        <w:pStyle w:val="ListParagraph"/>
        <w:numPr>
          <w:ilvl w:val="0"/>
          <w:numId w:val="3"/>
        </w:numPr>
        <w:spacing w:after="60"/>
      </w:pPr>
      <w:r>
        <w:rPr>
          <w:sz w:val="20"/>
          <w:szCs w:val="20"/>
        </w:rPr>
        <w:t xml:space="preserve">No initiative capex is ever capitalised twice — the step-9 register supersedes the step-8 line for that initiative.</w:t>
      </w:r>
    </w:p>
    <w:p>
      <w:pPr>
        <w:pStyle w:val="ListParagraph"/>
        <w:numPr>
          <w:ilvl w:val="0"/>
          <w:numId w:val="3"/>
        </w:numPr>
        <w:spacing w:after="60"/>
      </w:pPr>
      <w:r>
        <w:rPr>
          <w:sz w:val="20"/>
          <w:szCs w:val="20"/>
        </w:rPr>
        <w:t xml:space="preserve">A facility repayment is capped at the balance available, so a facility can never go negative.</w:t>
      </w:r>
    </w:p>
    <w:p>
      <w:pPr>
        <w:pStyle w:val="ListParagraph"/>
        <w:numPr>
          <w:ilvl w:val="0"/>
          <w:numId w:val="3"/>
        </w:numPr>
        <w:spacing w:after="60"/>
      </w:pPr>
      <w:r>
        <w:rPr>
          <w:sz w:val="20"/>
          <w:szCs w:val="20"/>
        </w:rPr>
        <w:t xml:space="preserve">The revolver draws to hold the minimum cash balance and repays out of any surplus above it. It is decided at group level only.</w:t>
      </w:r>
    </w:p>
    <w:p>
      <w:pPr>
        <w:pStyle w:val="ListParagraph"/>
        <w:numPr>
          <w:ilvl w:val="0"/>
          <w:numId w:val="3"/>
        </w:numPr>
        <w:spacing w:after="60"/>
      </w:pPr>
      <w:r>
        <w:rPr>
          <w:sz w:val="20"/>
          <w:szCs w:val="20"/>
        </w:rPr>
        <w:t xml:space="preserve">Depreciation stops when an asset is fully written down, and never takes an asset below its residual value.</w:t>
      </w:r>
    </w:p>
    <w:p>
      <w:pPr>
        <w:pStyle w:val="ListParagraph"/>
        <w:numPr>
          <w:ilvl w:val="0"/>
          <w:numId w:val="3"/>
        </w:numPr>
        <w:spacing w:after="60"/>
      </w:pPr>
      <w:r>
        <w:rPr>
          <w:sz w:val="20"/>
          <w:szCs w:val="20"/>
        </w:rPr>
        <w:t xml:space="preserve">Every levy is assessed on profit BEFORE any levy, so the answer does not depend on the order the levies are listed.</w:t>
      </w:r>
    </w:p>
    <w:p>
      <w:pPr>
        <w:pStyle w:val="ListParagraph"/>
        <w:numPr>
          <w:ilvl w:val="0"/>
          <w:numId w:val="3"/>
        </w:numPr>
        <w:spacing w:after="60"/>
      </w:pPr>
      <w:r>
        <w:rPr>
          <w:sz w:val="20"/>
          <w:szCs w:val="20"/>
        </w:rPr>
        <w:t xml:space="preserve">Dividends and reserve transfers are floored at zero profit — a loss year distributes nothing.</w:t>
      </w:r>
    </w:p>
    <w:p>
      <w:pPr>
        <w:pStyle w:val="ListParagraph"/>
        <w:numPr>
          <w:ilvl w:val="0"/>
          <w:numId w:val="3"/>
        </w:numPr>
        <w:spacing w:after="60"/>
      </w:pPr>
      <w:r>
        <w:rPr>
          <w:sz w:val="20"/>
          <w:szCs w:val="20"/>
        </w:rPr>
        <w:t xml:space="preserve">Interest is charged on opening balances, so there are no circular references and one forward pass gives the final answer.</w:t>
      </w:r>
    </w:p>
    <w:p>
      <w:pPr>
        <w:pStyle w:val="ListParagraph"/>
        <w:numPr>
          <w:ilvl w:val="0"/>
          <w:numId w:val="3"/>
        </w:numPr>
        <w:spacing w:after="60"/>
      </w:pPr>
      <w:r>
        <w:rPr>
          <w:sz w:val="20"/>
          <w:szCs w:val="20"/>
        </w:rPr>
        <w:t xml:space="preserve">The same input always produces the same output. The engine has no I/O, no globals and no dependence on the current date.</w:t>
      </w:r>
    </w:p>
    <w:p>
      <w:pPr>
        <w:spacing w:after="120"/>
      </w:pPr>
    </w:p>
    <w:p>
      <w:pPr>
        <w:pStyle w:val="Heading2"/>
        <w:spacing w:after="120" w:before="280"/>
      </w:pPr>
      <w:r>
        <w:t xml:space="preserve">4.7  The four integrity checks</w:t>
      </w:r>
    </w:p>
    <w:p>
      <w:pPr>
        <w:spacing w:after="120"/>
      </w:pPr>
      <w:r>
        <w:rPr>
          <w:b w:val="false"/>
          <w:bCs w:val="false"/>
          <w:i w:val="false"/>
          <w:iCs w:val="false"/>
          <w:sz w:val="20"/>
          <w:szCs w:val="20"/>
        </w:rPr>
        <w:t xml:space="preserve">Recomputed on every run and shown in the control bar of every output screen. Tolerance is 0.50 in model currency throughout.</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900"/>
        <w:gridCol w:w="3600"/>
        <w:gridCol w:w="3860"/>
      </w:tblGrid>
      <w:tr>
        <w:trPr>
          <w:tblHeader/>
        </w:trPr>
        <w:tc>
          <w:tcPr>
            <w:tcW w:type="dxa" w:w="1900"/>
            <w:shd w:fill="1F3864" w:val="clear"/>
            <w:tcMar>
              <w:top w:type="dxa" w:w="70"/>
              <w:left w:type="dxa" w:w="110"/>
              <w:bottom w:type="dxa" w:w="70"/>
              <w:right w:type="dxa" w:w="110"/>
            </w:tcMar>
          </w:tcPr>
          <w:p>
            <w:pPr>
              <w:spacing w:after="0"/>
            </w:pPr>
            <w:r>
              <w:rPr>
                <w:b/>
                <w:bCs/>
                <w:i w:val="false"/>
                <w:iCs w:val="false"/>
                <w:color w:val="FFFFFF"/>
                <w:sz w:val="18"/>
                <w:szCs w:val="18"/>
              </w:rPr>
              <w:t xml:space="preserve">Check</w:t>
            </w:r>
          </w:p>
        </w:tc>
        <w:tc>
          <w:tcPr>
            <w:tcW w:type="dxa" w:w="3600"/>
            <w:shd w:fill="1F3864" w:val="clear"/>
            <w:tcMar>
              <w:top w:type="dxa" w:w="70"/>
              <w:left w:type="dxa" w:w="110"/>
              <w:bottom w:type="dxa" w:w="70"/>
              <w:right w:type="dxa" w:w="110"/>
            </w:tcMar>
          </w:tcPr>
          <w:p>
            <w:pPr>
              <w:spacing w:after="0"/>
            </w:pPr>
            <w:r>
              <w:rPr>
                <w:b/>
                <w:bCs/>
                <w:i w:val="false"/>
                <w:iCs w:val="false"/>
                <w:color w:val="FFFFFF"/>
                <w:sz w:val="18"/>
                <w:szCs w:val="18"/>
              </w:rPr>
              <w:t xml:space="preserve">What it tests</w:t>
            </w:r>
          </w:p>
        </w:tc>
        <w:tc>
          <w:tcPr>
            <w:tcW w:type="dxa" w:w="3860"/>
            <w:shd w:fill="1F3864" w:val="clear"/>
            <w:tcMar>
              <w:top w:type="dxa" w:w="70"/>
              <w:left w:type="dxa" w:w="110"/>
              <w:bottom w:type="dxa" w:w="70"/>
              <w:right w:type="dxa" w:w="110"/>
            </w:tcMar>
          </w:tcPr>
          <w:p>
            <w:pPr>
              <w:spacing w:after="0"/>
            </w:pPr>
            <w:r>
              <w:rPr>
                <w:b/>
                <w:bCs/>
                <w:i w:val="false"/>
                <w:iCs w:val="false"/>
                <w:color w:val="FFFFFF"/>
                <w:sz w:val="18"/>
                <w:szCs w:val="18"/>
              </w:rPr>
              <w:t xml:space="preserve">What it means when it fails</w:t>
            </w:r>
          </w:p>
        </w:tc>
      </w:tr>
      <w:tr>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Opening balances</w:t>
            </w:r>
          </w:p>
        </w:tc>
        <w:tc>
          <w:tcPr>
            <w:tcW w:type="dxa" w:w="36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Opening assets = opening liabilities + equity.</w:t>
            </w:r>
          </w:p>
        </w:tc>
        <w:tc>
          <w:tcPr>
            <w:tcW w:type="dxa" w:w="38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Step 10 is wrong. Everything downstream is unreliable. Fix this first — it is usually the cause of all the others.</w:t>
            </w:r>
          </w:p>
        </w:tc>
      </w:tr>
      <w:tr>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Balance sheet balances</w:t>
            </w:r>
          </w:p>
        </w:tc>
        <w:tc>
          <w:tcPr>
            <w:tcW w:type="dxa" w:w="36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Total liabilities + equity − total assets = 0 in every forecast year.</w:t>
            </w:r>
          </w:p>
        </w:tc>
        <w:tc>
          <w:tcPr>
            <w:tcW w:type="dxa" w:w="38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Given a balanced opening sheet this should never fail. If it does, it is a genuine engine defect and should be raised immediately with the model attached.</w:t>
            </w:r>
          </w:p>
        </w:tc>
      </w:tr>
      <w:tr>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Cash reconciles</w:t>
            </w:r>
          </w:p>
        </w:tc>
        <w:tc>
          <w:tcPr>
            <w:tcW w:type="dxa" w:w="36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cash line on the balance sheet equals closing cash on the cash flow statement, every year.</w:t>
            </w:r>
          </w:p>
        </w:tc>
        <w:tc>
          <w:tcPr>
            <w:tcW w:type="dxa" w:w="38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two statements disagree — an engine defect.</w:t>
            </w:r>
          </w:p>
        </w:tc>
      </w:tr>
      <w:tr>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Debt reconciles</w:t>
            </w:r>
          </w:p>
        </w:tc>
        <w:tc>
          <w:tcPr>
            <w:tcW w:type="dxa" w:w="36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Named facilities (step 7) do not exceed the opening debt (step 10).</w:t>
            </w:r>
          </w:p>
        </w:tc>
        <w:tc>
          <w:tcPr>
            <w:tcW w:type="dxa" w:w="38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 contradiction between two input screens. The message names the amount and both places to fix it.</w:t>
            </w:r>
          </w:p>
        </w:tc>
      </w:tr>
    </w:tbl>
    <w:p>
      <w:pPr>
        <w:spacing w:after="80"/>
      </w:pPr>
    </w:p>
    <w:p>
      <w:pPr>
        <w:spacing w:after="120"/>
      </w:pPr>
      <w:r>
        <w:rPr>
          <w:b w:val="false"/>
          <w:bCs w:val="false"/>
          <w:i w:val="false"/>
          <w:iCs w:val="false"/>
          <w:sz w:val="20"/>
          <w:szCs w:val="20"/>
        </w:rPr>
        <w:t xml:space="preserve">A fifth, softer signal is also computed but does not fail the model: the list of forecast years in which closing cash is negative. Retained earnings roll-forward is also checked.</w:t>
      </w:r>
    </w:p>
    <w:p>
      <w:pPr>
        <w:spacing w:after="120"/>
      </w:pPr>
    </w:p>
    <w:p>
      <w:pPr>
        <w:pStyle w:val="Heading2"/>
        <w:spacing w:after="120" w:before="280"/>
      </w:pPr>
      <w:r>
        <w:t xml:space="preserve">4.8  Main end-to-end workflows</w:t>
      </w:r>
    </w:p>
    <w:p>
      <w:pPr>
        <w:pStyle w:val="Heading3"/>
        <w:spacing w:after="100" w:before="220"/>
      </w:pPr>
      <w:r>
        <w:t xml:space="preserve">W1 — Build a forecast from nothing (the primary workflow)</w:t>
      </w:r>
    </w:p>
    <w:p>
      <w:pPr>
        <w:pStyle w:val="ListParagraph"/>
        <w:numPr>
          <w:ilvl w:val="0"/>
          <w:numId w:val="2"/>
        </w:numPr>
        <w:spacing w:after="60"/>
      </w:pPr>
      <w:r>
        <w:rPr>
          <w:sz w:val="20"/>
          <w:szCs w:val="20"/>
        </w:rPr>
        <w:t xml:space="preserve">Sign in as an Administrator or Model manager.</w:t>
      </w:r>
    </w:p>
    <w:p>
      <w:pPr>
        <w:pStyle w:val="ListParagraph"/>
        <w:numPr>
          <w:ilvl w:val="0"/>
          <w:numId w:val="2"/>
        </w:numPr>
        <w:spacing w:after="60"/>
      </w:pPr>
      <w:r>
        <w:rPr>
          <w:sz w:val="20"/>
          <w:szCs w:val="20"/>
        </w:rPr>
        <w:t xml:space="preserve">Models → Create empty model: name, first forecast year, historical years, forecast years, currency.</w:t>
      </w:r>
    </w:p>
    <w:p>
      <w:pPr>
        <w:pStyle w:val="ListParagraph"/>
        <w:numPr>
          <w:ilvl w:val="0"/>
          <w:numId w:val="2"/>
        </w:numPr>
        <w:spacing w:after="60"/>
      </w:pPr>
      <w:r>
        <w:rPr>
          <w:sz w:val="20"/>
          <w:szCs w:val="20"/>
        </w:rPr>
        <w:t xml:space="preserve">Step 1: replace the placeholder unit name; add the rest of the units.</w:t>
      </w:r>
    </w:p>
    <w:p>
      <w:pPr>
        <w:pStyle w:val="ListParagraph"/>
        <w:numPr>
          <w:ilvl w:val="0"/>
          <w:numId w:val="2"/>
        </w:numPr>
        <w:spacing w:after="60"/>
      </w:pPr>
      <w:r>
        <w:rPr>
          <w:sz w:val="20"/>
          <w:szCs w:val="20"/>
        </w:rPr>
        <w:t xml:space="preserve">Step 2: pick the default scenario, set inflation per year, define at least one levy, set the depreciation policy.</w:t>
      </w:r>
    </w:p>
    <w:p>
      <w:pPr>
        <w:pStyle w:val="ListParagraph"/>
        <w:numPr>
          <w:ilvl w:val="0"/>
          <w:numId w:val="2"/>
        </w:numPr>
        <w:spacing w:after="60"/>
      </w:pPr>
      <w:r>
        <w:rPr>
          <w:sz w:val="20"/>
          <w:szCs w:val="20"/>
        </w:rPr>
        <w:t xml:space="preserve">Step 3: enter the working-capital day counts and other current assets/liabilities.</w:t>
      </w:r>
    </w:p>
    <w:p>
      <w:pPr>
        <w:pStyle w:val="ListParagraph"/>
        <w:numPr>
          <w:ilvl w:val="0"/>
          <w:numId w:val="2"/>
        </w:numPr>
        <w:spacing w:after="60"/>
      </w:pPr>
      <w:r>
        <w:rPr>
          <w:sz w:val="20"/>
          <w:szCs w:val="20"/>
        </w:rPr>
        <w:t xml:space="preserve">Step 4: enter the closed-year figures for every unit. Clear the yellow "no data" banner.</w:t>
      </w:r>
    </w:p>
    <w:p>
      <w:pPr>
        <w:pStyle w:val="ListParagraph"/>
        <w:numPr>
          <w:ilvl w:val="0"/>
          <w:numId w:val="2"/>
        </w:numPr>
        <w:spacing w:after="60"/>
      </w:pPr>
      <w:r>
        <w:rPr>
          <w:sz w:val="20"/>
          <w:szCs w:val="20"/>
        </w:rPr>
        <w:t xml:space="preserve">Step 5: enter growth for all three scenarios.</w:t>
      </w:r>
    </w:p>
    <w:p>
      <w:pPr>
        <w:pStyle w:val="ListParagraph"/>
        <w:numPr>
          <w:ilvl w:val="0"/>
          <w:numId w:val="2"/>
        </w:numPr>
        <w:spacing w:after="60"/>
      </w:pPr>
      <w:r>
        <w:rPr>
          <w:sz w:val="20"/>
          <w:szCs w:val="20"/>
        </w:rPr>
        <w:t xml:space="preserve">Step 6: enter cost ratios and fixed costs for all three scenarios.</w:t>
      </w:r>
    </w:p>
    <w:p>
      <w:pPr>
        <w:pStyle w:val="ListParagraph"/>
        <w:numPr>
          <w:ilvl w:val="0"/>
          <w:numId w:val="2"/>
        </w:numPr>
        <w:spacing w:after="60"/>
      </w:pPr>
      <w:r>
        <w:rPr>
          <w:sz w:val="20"/>
          <w:szCs w:val="20"/>
        </w:rPr>
        <w:t xml:space="preserve">Step 7: enter facilities and their schedules, provisions, and the revolver and dividend policy.</w:t>
      </w:r>
    </w:p>
    <w:p>
      <w:pPr>
        <w:pStyle w:val="ListParagraph"/>
        <w:numPr>
          <w:ilvl w:val="0"/>
          <w:numId w:val="2"/>
        </w:numPr>
        <w:spacing w:after="60"/>
      </w:pPr>
      <w:r>
        <w:rPr>
          <w:sz w:val="20"/>
          <w:szCs w:val="20"/>
        </w:rPr>
        <w:t xml:space="preserve">Step 8: enter any strategic initiatives with their probabilities.</w:t>
      </w:r>
    </w:p>
    <w:p>
      <w:pPr>
        <w:pStyle w:val="ListParagraph"/>
        <w:numPr>
          <w:ilvl w:val="0"/>
          <w:numId w:val="2"/>
        </w:numPr>
        <w:spacing w:after="60"/>
      </w:pPr>
      <w:r>
        <w:rPr>
          <w:sz w:val="20"/>
          <w:szCs w:val="20"/>
        </w:rPr>
        <w:t xml:space="preserve">Step 9: enter maintenance capex and any itemised assets.</w:t>
      </w:r>
    </w:p>
    <w:p>
      <w:pPr>
        <w:pStyle w:val="ListParagraph"/>
        <w:numPr>
          <w:ilvl w:val="0"/>
          <w:numId w:val="2"/>
        </w:numPr>
        <w:spacing w:after="60"/>
      </w:pPr>
      <w:r>
        <w:rPr>
          <w:sz w:val="20"/>
          <w:szCs w:val="20"/>
        </w:rPr>
        <w:t xml:space="preserve">Step 10: enter the opening balance sheet until the green "balances" banner appears, then Save &amp; calculate.</w:t>
      </w:r>
    </w:p>
    <w:p>
      <w:pPr>
        <w:pStyle w:val="ListParagraph"/>
        <w:numPr>
          <w:ilvl w:val="0"/>
          <w:numId w:val="2"/>
        </w:numPr>
        <w:spacing w:after="60"/>
      </w:pPr>
      <w:r>
        <w:rPr>
          <w:sz w:val="20"/>
          <w:szCs w:val="20"/>
        </w:rPr>
        <w:t xml:space="preserve">Confirm the Dashboard shows "Balanced &amp; reconciled" and no red banner.</w:t>
      </w:r>
    </w:p>
    <w:p>
      <w:pPr>
        <w:spacing w:after="80"/>
      </w:pPr>
    </w:p>
    <w:p>
      <w:pPr>
        <w:pStyle w:val="Heading3"/>
        <w:spacing w:after="100" w:before="220"/>
      </w:pPr>
      <w:r>
        <w:t xml:space="preserve">W2 — Review and sign off</w:t>
      </w:r>
    </w:p>
    <w:p>
      <w:pPr>
        <w:pStyle w:val="ListParagraph"/>
        <w:numPr>
          <w:ilvl w:val="0"/>
          <w:numId w:val="2"/>
        </w:numPr>
        <w:spacing w:after="60"/>
      </w:pPr>
      <w:r>
        <w:rPr>
          <w:sz w:val="20"/>
          <w:szCs w:val="20"/>
        </w:rPr>
        <w:t xml:space="preserve">Open the model and check the integrity badge on any output screen.</w:t>
      </w:r>
    </w:p>
    <w:p>
      <w:pPr>
        <w:pStyle w:val="ListParagraph"/>
        <w:numPr>
          <w:ilvl w:val="0"/>
          <w:numId w:val="2"/>
        </w:numPr>
        <w:spacing w:after="60"/>
      </w:pPr>
      <w:r>
        <w:rPr>
          <w:sz w:val="20"/>
          <w:szCs w:val="20"/>
        </w:rPr>
        <w:t xml:space="preserve">Actual analysis: check nothing is flagged in the forecast bridge, or that anything flagged is explained.</w:t>
      </w:r>
    </w:p>
    <w:p>
      <w:pPr>
        <w:pStyle w:val="ListParagraph"/>
        <w:numPr>
          <w:ilvl w:val="0"/>
          <w:numId w:val="2"/>
        </w:numPr>
        <w:spacing w:after="60"/>
      </w:pPr>
      <w:r>
        <w:rPr>
          <w:sz w:val="20"/>
          <w:szCs w:val="20"/>
        </w:rPr>
        <w:t xml:space="preserve">Income statement, cash flow, balance sheet, ratios: read the figures at the group level.</w:t>
      </w:r>
    </w:p>
    <w:p>
      <w:pPr>
        <w:pStyle w:val="ListParagraph"/>
        <w:numPr>
          <w:ilvl w:val="0"/>
          <w:numId w:val="2"/>
        </w:numPr>
        <w:spacing w:after="60"/>
      </w:pPr>
      <w:r>
        <w:rPr>
          <w:sz w:val="20"/>
          <w:szCs w:val="20"/>
        </w:rPr>
        <w:t xml:space="preserve">Switch to each business unit on the income statement and confirm the units sum to the group.</w:t>
      </w:r>
    </w:p>
    <w:p>
      <w:pPr>
        <w:pStyle w:val="ListParagraph"/>
        <w:numPr>
          <w:ilvl w:val="0"/>
          <w:numId w:val="2"/>
        </w:numPr>
        <w:spacing w:after="60"/>
      </w:pPr>
      <w:r>
        <w:rPr>
          <w:sz w:val="20"/>
          <w:szCs w:val="20"/>
        </w:rPr>
        <w:t xml:space="preserve">Sensitivity: check the downside case still holds cash.</w:t>
      </w:r>
    </w:p>
    <w:p>
      <w:pPr>
        <w:pStyle w:val="ListParagraph"/>
        <w:numPr>
          <w:ilvl w:val="0"/>
          <w:numId w:val="2"/>
        </w:numPr>
        <w:spacing w:after="60"/>
      </w:pPr>
      <w:r>
        <w:rPr>
          <w:sz w:val="20"/>
          <w:szCs w:val="20"/>
        </w:rPr>
        <w:t xml:space="preserve">Report: choose the sections, print or export.</w:t>
      </w:r>
    </w:p>
    <w:p>
      <w:pPr>
        <w:pStyle w:val="ListParagraph"/>
        <w:numPr>
          <w:ilvl w:val="0"/>
          <w:numId w:val="2"/>
        </w:numPr>
        <w:spacing w:after="60"/>
      </w:pPr>
      <w:r>
        <w:rPr>
          <w:sz w:val="20"/>
          <w:szCs w:val="20"/>
        </w:rPr>
        <w:t xml:space="preserve">Administrator only: close the model so the figures stay as signed off.</w:t>
      </w:r>
    </w:p>
    <w:p>
      <w:pPr>
        <w:spacing w:after="80"/>
      </w:pPr>
    </w:p>
    <w:p>
      <w:pPr>
        <w:pStyle w:val="Heading3"/>
        <w:spacing w:after="100" w:before="220"/>
      </w:pPr>
      <w:r>
        <w:t xml:space="preserve">W3 — Explore a variant without disturbing the plan</w:t>
      </w:r>
    </w:p>
    <w:p>
      <w:pPr>
        <w:pStyle w:val="ListParagraph"/>
        <w:numPr>
          <w:ilvl w:val="0"/>
          <w:numId w:val="2"/>
        </w:numPr>
        <w:spacing w:after="60"/>
      </w:pPr>
      <w:r>
        <w:rPr>
          <w:sz w:val="20"/>
          <w:szCs w:val="20"/>
        </w:rPr>
        <w:t xml:space="preserve">Open the plan of record.</w:t>
      </w:r>
    </w:p>
    <w:p>
      <w:pPr>
        <w:pStyle w:val="ListParagraph"/>
        <w:numPr>
          <w:ilvl w:val="0"/>
          <w:numId w:val="2"/>
        </w:numPr>
        <w:spacing w:after="60"/>
      </w:pPr>
      <w:r>
        <w:rPr>
          <w:sz w:val="20"/>
          <w:szCs w:val="20"/>
        </w:rPr>
        <w:t xml:space="preserve">Either duplicate it from the Models screen, or make the changes on an input step and press "Save as…" — which copies the model FIRST and lands the changes in the copy.</w:t>
      </w:r>
    </w:p>
    <w:p>
      <w:pPr>
        <w:pStyle w:val="ListParagraph"/>
        <w:numPr>
          <w:ilvl w:val="0"/>
          <w:numId w:val="2"/>
        </w:numPr>
        <w:spacing w:after="60"/>
      </w:pPr>
      <w:r>
        <w:rPr>
          <w:sz w:val="20"/>
          <w:szCs w:val="20"/>
        </w:rPr>
        <w:t xml:space="preserve">Confirm the original still holds its previous values.</w:t>
      </w:r>
    </w:p>
    <w:p>
      <w:pPr>
        <w:pStyle w:val="ListParagraph"/>
        <w:numPr>
          <w:ilvl w:val="0"/>
          <w:numId w:val="2"/>
        </w:numPr>
        <w:spacing w:after="60"/>
      </w:pPr>
      <w:r>
        <w:rPr>
          <w:sz w:val="20"/>
          <w:szCs w:val="20"/>
        </w:rPr>
        <w:t xml:space="preserve">Model comparison: select both models and read the deviation.</w:t>
      </w:r>
    </w:p>
    <w:p>
      <w:pPr>
        <w:spacing w:after="80"/>
      </w:pPr>
    </w:p>
    <w:p>
      <w:pPr>
        <w:pStyle w:val="Heading3"/>
        <w:spacing w:after="100" w:before="220"/>
      </w:pPr>
      <w:r>
        <w:t xml:space="preserve">W4 — Bulk import</w:t>
      </w:r>
    </w:p>
    <w:p>
      <w:pPr>
        <w:pStyle w:val="ListParagraph"/>
        <w:numPr>
          <w:ilvl w:val="0"/>
          <w:numId w:val="2"/>
        </w:numPr>
        <w:spacing w:after="60"/>
      </w:pPr>
      <w:r>
        <w:rPr>
          <w:sz w:val="20"/>
          <w:szCs w:val="20"/>
        </w:rPr>
        <w:t xml:space="preserve">Data → download the template for the dataset (xlsx or csv). It arrives pre-populated with this model's units and years.</w:t>
      </w:r>
    </w:p>
    <w:p>
      <w:pPr>
        <w:pStyle w:val="ListParagraph"/>
        <w:numPr>
          <w:ilvl w:val="0"/>
          <w:numId w:val="2"/>
        </w:numPr>
        <w:spacing w:after="60"/>
      </w:pPr>
      <w:r>
        <w:rPr>
          <w:sz w:val="20"/>
          <w:szCs w:val="20"/>
        </w:rPr>
        <w:t xml:space="preserve">Fill it in and upload it, or paste the contents.</w:t>
      </w:r>
    </w:p>
    <w:p>
      <w:pPr>
        <w:pStyle w:val="ListParagraph"/>
        <w:numPr>
          <w:ilvl w:val="0"/>
          <w:numId w:val="2"/>
        </w:numPr>
        <w:spacing w:after="60"/>
      </w:pPr>
      <w:r>
        <w:rPr>
          <w:sz w:val="20"/>
          <w:szCs w:val="20"/>
        </w:rPr>
        <w:t xml:space="preserve">Read the staged result: how many values were read, how many rejected and why.</w:t>
      </w:r>
    </w:p>
    <w:p>
      <w:pPr>
        <w:pStyle w:val="ListParagraph"/>
        <w:numPr>
          <w:ilvl w:val="0"/>
          <w:numId w:val="2"/>
        </w:numPr>
        <w:spacing w:after="60"/>
      </w:pPr>
      <w:r>
        <w:rPr>
          <w:sz w:val="20"/>
          <w:szCs w:val="20"/>
        </w:rPr>
        <w:t xml:space="preserve">Approve to write it into the model, or Reject to discard it. Nothing reaches the model until approval.</w:t>
      </w:r>
    </w:p>
    <w:p>
      <w:pPr>
        <w:pStyle w:val="ListParagraph"/>
        <w:numPr>
          <w:ilvl w:val="0"/>
          <w:numId w:val="2"/>
        </w:numPr>
        <w:spacing w:after="60"/>
      </w:pPr>
      <w:r>
        <w:rPr>
          <w:sz w:val="20"/>
          <w:szCs w:val="20"/>
        </w:rPr>
        <w:t xml:space="preserve">Confirm the values landed on the matching input step and that the outputs moved.</w:t>
      </w:r>
    </w:p>
    <w:p>
      <w:pPr>
        <w:spacing w:after="80"/>
      </w:pPr>
    </w:p>
    <w:p>
      <w:pPr>
        <w:pStyle w:val="Heading3"/>
        <w:spacing w:after="100" w:before="220"/>
      </w:pPr>
      <w:r>
        <w:t xml:space="preserve">W5 — Administration (Super administrator only)</w:t>
      </w:r>
    </w:p>
    <w:p>
      <w:pPr>
        <w:pStyle w:val="ListParagraph"/>
        <w:numPr>
          <w:ilvl w:val="0"/>
          <w:numId w:val="2"/>
        </w:numPr>
        <w:spacing w:after="60"/>
      </w:pPr>
      <w:r>
        <w:rPr>
          <w:sz w:val="20"/>
          <w:szCs w:val="20"/>
        </w:rPr>
        <w:t xml:space="preserve">Sign in as the Super administrator; land on Companies.</w:t>
      </w:r>
    </w:p>
    <w:p>
      <w:pPr>
        <w:pStyle w:val="ListParagraph"/>
        <w:numPr>
          <w:ilvl w:val="0"/>
          <w:numId w:val="2"/>
        </w:numPr>
        <w:spacing w:after="60"/>
      </w:pPr>
      <w:r>
        <w:rPr>
          <w:sz w:val="20"/>
          <w:szCs w:val="20"/>
        </w:rPr>
        <w:t xml:space="preserve">Create a company — it is created with one empty model so it can be opened immediately.</w:t>
      </w:r>
    </w:p>
    <w:p>
      <w:pPr>
        <w:pStyle w:val="ListParagraph"/>
        <w:numPr>
          <w:ilvl w:val="0"/>
          <w:numId w:val="2"/>
        </w:numPr>
        <w:spacing w:after="60"/>
      </w:pPr>
      <w:r>
        <w:rPr>
          <w:sz w:val="20"/>
          <w:szCs w:val="20"/>
        </w:rPr>
        <w:t xml:space="preserve">Upload its logo.</w:t>
      </w:r>
    </w:p>
    <w:p>
      <w:pPr>
        <w:pStyle w:val="ListParagraph"/>
        <w:numPr>
          <w:ilvl w:val="0"/>
          <w:numId w:val="2"/>
        </w:numPr>
        <w:spacing w:after="60"/>
      </w:pPr>
      <w:r>
        <w:rPr>
          <w:sz w:val="20"/>
          <w:szCs w:val="20"/>
        </w:rPr>
        <w:t xml:space="preserve">Enter the company, then Users &amp; access: create the users and set their roles and authorities.</w:t>
      </w:r>
    </w:p>
    <w:p>
      <w:pPr>
        <w:pStyle w:val="ListParagraph"/>
        <w:numPr>
          <w:ilvl w:val="0"/>
          <w:numId w:val="2"/>
        </w:numPr>
        <w:spacing w:after="60"/>
      </w:pPr>
      <w:r>
        <w:rPr>
          <w:sz w:val="20"/>
          <w:szCs w:val="20"/>
        </w:rPr>
        <w:t xml:space="preserve">Set a password; hand over the value shown once.</w:t>
      </w:r>
    </w:p>
    <w:p>
      <w:pPr>
        <w:pStyle w:val="ListParagraph"/>
        <w:numPr>
          <w:ilvl w:val="0"/>
          <w:numId w:val="2"/>
        </w:numPr>
        <w:spacing w:after="60"/>
      </w:pPr>
      <w:r>
        <w:rPr>
          <w:sz w:val="20"/>
          <w:szCs w:val="20"/>
        </w:rPr>
        <w:t xml:space="preserve">Return to your own company.</w:t>
      </w:r>
    </w:p>
    <w:p>
      <w:r>
        <w:br w:type="page"/>
      </w:r>
    </w:p>
    <w:p>
      <w:pPr>
        <w:pStyle w:val="Heading1"/>
        <w:spacing w:after="160" w:before="360"/>
      </w:pPr>
      <w:r>
        <w:t xml:space="preserve">5. Other Testable Functionality</w:t>
      </w:r>
    </w:p>
    <w:p>
      <w:pPr>
        <w:pStyle w:val="Heading2"/>
        <w:spacing w:after="120" w:before="280"/>
      </w:pPr>
      <w:r>
        <w:t xml:space="preserve">5.1  Create / Edit / Delete / View — where each exists</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700"/>
        <w:gridCol w:w="1900"/>
        <w:gridCol w:w="1900"/>
        <w:gridCol w:w="1900"/>
        <w:gridCol w:w="1960"/>
      </w:tblGrid>
      <w:tr>
        <w:trPr>
          <w:tblHeader/>
        </w:trPr>
        <w:tc>
          <w:tcPr>
            <w:tcW w:type="dxa" w:w="1700"/>
            <w:shd w:fill="1F3864" w:val="clear"/>
            <w:tcMar>
              <w:top w:type="dxa" w:w="70"/>
              <w:left w:type="dxa" w:w="110"/>
              <w:bottom w:type="dxa" w:w="70"/>
              <w:right w:type="dxa" w:w="110"/>
            </w:tcMar>
          </w:tcPr>
          <w:p>
            <w:pPr>
              <w:spacing w:after="0"/>
            </w:pPr>
            <w:r>
              <w:rPr>
                <w:b/>
                <w:bCs/>
                <w:i w:val="false"/>
                <w:iCs w:val="false"/>
                <w:color w:val="FFFFFF"/>
                <w:sz w:val="18"/>
                <w:szCs w:val="18"/>
              </w:rPr>
              <w:t xml:space="preserve">Object</w:t>
            </w:r>
          </w:p>
        </w:tc>
        <w:tc>
          <w:tcPr>
            <w:tcW w:type="dxa" w:w="1900"/>
            <w:shd w:fill="1F3864" w:val="clear"/>
            <w:tcMar>
              <w:top w:type="dxa" w:w="70"/>
              <w:left w:type="dxa" w:w="110"/>
              <w:bottom w:type="dxa" w:w="70"/>
              <w:right w:type="dxa" w:w="110"/>
            </w:tcMar>
          </w:tcPr>
          <w:p>
            <w:pPr>
              <w:spacing w:after="0"/>
            </w:pPr>
            <w:r>
              <w:rPr>
                <w:b/>
                <w:bCs/>
                <w:i w:val="false"/>
                <w:iCs w:val="false"/>
                <w:color w:val="FFFFFF"/>
                <w:sz w:val="18"/>
                <w:szCs w:val="18"/>
              </w:rPr>
              <w:t xml:space="preserve">Create</w:t>
            </w:r>
          </w:p>
        </w:tc>
        <w:tc>
          <w:tcPr>
            <w:tcW w:type="dxa" w:w="1900"/>
            <w:shd w:fill="1F3864" w:val="clear"/>
            <w:tcMar>
              <w:top w:type="dxa" w:w="70"/>
              <w:left w:type="dxa" w:w="110"/>
              <w:bottom w:type="dxa" w:w="70"/>
              <w:right w:type="dxa" w:w="110"/>
            </w:tcMar>
          </w:tcPr>
          <w:p>
            <w:pPr>
              <w:spacing w:after="0"/>
            </w:pPr>
            <w:r>
              <w:rPr>
                <w:b/>
                <w:bCs/>
                <w:i w:val="false"/>
                <w:iCs w:val="false"/>
                <w:color w:val="FFFFFF"/>
                <w:sz w:val="18"/>
                <w:szCs w:val="18"/>
              </w:rPr>
              <w:t xml:space="preserve">Edit</w:t>
            </w:r>
          </w:p>
        </w:tc>
        <w:tc>
          <w:tcPr>
            <w:tcW w:type="dxa" w:w="1900"/>
            <w:shd w:fill="1F3864" w:val="clear"/>
            <w:tcMar>
              <w:top w:type="dxa" w:w="70"/>
              <w:left w:type="dxa" w:w="110"/>
              <w:bottom w:type="dxa" w:w="70"/>
              <w:right w:type="dxa" w:w="110"/>
            </w:tcMar>
          </w:tcPr>
          <w:p>
            <w:pPr>
              <w:spacing w:after="0"/>
            </w:pPr>
            <w:r>
              <w:rPr>
                <w:b/>
                <w:bCs/>
                <w:i w:val="false"/>
                <w:iCs w:val="false"/>
                <w:color w:val="FFFFFF"/>
                <w:sz w:val="18"/>
                <w:szCs w:val="18"/>
              </w:rPr>
              <w:t xml:space="preserve">Delete</w:t>
            </w:r>
          </w:p>
        </w:tc>
        <w:tc>
          <w:tcPr>
            <w:tcW w:type="dxa" w:w="1960"/>
            <w:shd w:fill="1F3864" w:val="clear"/>
            <w:tcMar>
              <w:top w:type="dxa" w:w="70"/>
              <w:left w:type="dxa" w:w="110"/>
              <w:bottom w:type="dxa" w:w="70"/>
              <w:right w:type="dxa" w:w="110"/>
            </w:tcMar>
          </w:tcPr>
          <w:p>
            <w:pPr>
              <w:spacing w:after="0"/>
            </w:pPr>
            <w:r>
              <w:rPr>
                <w:b/>
                <w:bCs/>
                <w:i w:val="false"/>
                <w:iCs w:val="false"/>
                <w:color w:val="FFFFFF"/>
                <w:sz w:val="18"/>
                <w:szCs w:val="18"/>
              </w:rPr>
              <w:t xml:space="preserve">Notes</w:t>
            </w:r>
          </w:p>
        </w:tc>
      </w:tr>
      <w:tr>
        <w:tc>
          <w:tcPr>
            <w:tcW w:type="dxa" w:w="1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Company</w:t>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/admin/companies</w:t>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/admin/companies/:id</w:t>
            </w:r>
          </w:p>
        </w:tc>
        <w:tc>
          <w:tcPr>
            <w:tcW w:type="dxa" w:w="1900"/>
            <w:shd w:fill="FFFFFF" w:val="clear"/>
            <w:tcMar>
              <w:top w:type="dxa" w:w="70"/>
              <w:left w:type="dxa" w:w="110"/>
              <w:bottom w:type="dxa" w:w="70"/>
              <w:right w:type="dxa" w:w="110"/>
            </w:tcMar>
          </w:tcPr>
          <w:p>
            <w:pPr>
              <w:spacing w:after="0"/>
            </w:pPr>
            <w:r>
              <w:rPr>
                <w:b w:val="false"/>
                <w:bCs w:val="false"/>
                <w:i/>
                <w:iCs/>
                <w:color w:val="000000"/>
                <w:sz w:val="18"/>
                <w:szCs w:val="18"/>
              </w:rPr>
              <w:t xml:space="preserve">No UI</w:t>
            </w:r>
          </w:p>
        </w:tc>
        <w:tc>
          <w:tcPr>
            <w:tcW w:type="dxa" w:w="1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Super administrator only. Created with one empty model.</w:t>
            </w:r>
          </w:p>
        </w:tc>
      </w:tr>
      <w:tr>
        <w:tc>
          <w:tcPr>
            <w:tcW w:type="dxa" w:w="1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User</w:t>
            </w:r>
          </w:p>
        </w:tc>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/admin/users</w:t>
            </w:r>
          </w:p>
        </w:tc>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/admin/users/:id</w:t>
            </w:r>
          </w:p>
        </w:tc>
        <w:tc>
          <w:tcPr>
            <w:tcW w:type="dxa" w:w="1900"/>
            <w:shd w:fill="F7F9FC" w:val="clear"/>
            <w:tcMar>
              <w:top w:type="dxa" w:w="70"/>
              <w:left w:type="dxa" w:w="110"/>
              <w:bottom w:type="dxa" w:w="70"/>
              <w:right w:type="dxa" w:w="110"/>
            </w:tcMar>
          </w:tcPr>
          <w:p>
            <w:pPr>
              <w:spacing w:after="0"/>
            </w:pPr>
            <w:r>
              <w:rPr>
                <w:b w:val="false"/>
                <w:bCs w:val="false"/>
                <w:i/>
                <w:iCs/>
                <w:color w:val="000000"/>
                <w:sz w:val="18"/>
                <w:szCs w:val="18"/>
              </w:rPr>
              <w:t xml:space="preserve">No UI — deactivate instead</w:t>
            </w:r>
          </w:p>
        </w:tc>
        <w:tc>
          <w:tcPr>
            <w:tcW w:type="dxa" w:w="19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Super administrator only. Last active admin and last platform admin are protected.</w:t>
            </w:r>
          </w:p>
        </w:tc>
      </w:tr>
      <w:tr>
        <w:tc>
          <w:tcPr>
            <w:tcW w:type="dxa" w:w="1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Model</w:t>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/models (new), duplicate, "Save as…"</w:t>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Rename, /models/:id/settings</w:t>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/models/:id/delete</w:t>
            </w:r>
          </w:p>
        </w:tc>
        <w:tc>
          <w:tcPr>
            <w:tcW w:type="dxa" w:w="1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Delete needs the exact name typed back; last model cannot be deleted. Settings save currently fails (D1).</w:t>
            </w:r>
          </w:p>
        </w:tc>
      </w:tr>
      <w:tr>
        <w:tc>
          <w:tcPr>
            <w:tcW w:type="dxa" w:w="1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Business unit</w:t>
            </w:r>
          </w:p>
        </w:tc>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Step 1 — type a name in a blank row</w:t>
            </w:r>
          </w:p>
        </w:tc>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Step 1 — change the name</w:t>
            </w:r>
          </w:p>
        </w:tc>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Step 1 — clear the name</w:t>
            </w:r>
          </w:p>
        </w:tc>
        <w:tc>
          <w:tcPr>
            <w:tcW w:type="dxa" w:w="1960"/>
            <w:shd w:fill="F7F9FC" w:val="clear"/>
            <w:tcMar>
              <w:top w:type="dxa" w:w="70"/>
              <w:left w:type="dxa" w:w="110"/>
              <w:bottom w:type="dxa" w:w="70"/>
              <w:right w:type="dxa" w:w="110"/>
            </w:tcMar>
          </w:tcPr>
          <w:p>
            <w:pPr>
              <w:spacing w:after="0"/>
            </w:pPr>
            <w:r>
              <w:rPr>
                <w:b/>
                <w:bCs/>
                <w:i w:val="false"/>
                <w:iCs w:val="false"/>
                <w:color w:val="000000"/>
                <w:sz w:val="18"/>
                <w:szCs w:val="18"/>
              </w:rPr>
              <w:t xml:space="preserve">Delete cascades to all of that unit's data. No confirmation.</w:t>
            </w:r>
          </w:p>
        </w:tc>
      </w:tr>
      <w:tr>
        <w:tc>
          <w:tcPr>
            <w:tcW w:type="dxa" w:w="1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Levy</w:t>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Step 2 — raise the count</w:t>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Step 2</w:t>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Step 2 — clear the name, or lower the count</w:t>
            </w:r>
          </w:p>
        </w:tc>
        <w:tc>
          <w:tcPr>
            <w:tcW w:type="dxa" w:w="1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Max 10.</w:t>
            </w:r>
          </w:p>
        </w:tc>
      </w:tr>
      <w:tr>
        <w:tc>
          <w:tcPr>
            <w:tcW w:type="dxa" w:w="1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Facility</w:t>
            </w:r>
          </w:p>
        </w:tc>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Step 7 — raise the count</w:t>
            </w:r>
          </w:p>
        </w:tc>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Step 7</w:t>
            </w:r>
          </w:p>
        </w:tc>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Step 7 — clear the name, or lower the count</w:t>
            </w:r>
          </w:p>
        </w:tc>
        <w:tc>
          <w:tcPr>
            <w:tcW w:type="dxa" w:w="19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Max 24. All facilities are replaced on every save.</w:t>
            </w:r>
          </w:p>
        </w:tc>
      </w:tr>
      <w:tr>
        <w:tc>
          <w:tcPr>
            <w:tcW w:type="dxa" w:w="1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Provision</w:t>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Step 7 — raise the count</w:t>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Step 7</w:t>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Step 7 — clear the name, or lower the count</w:t>
            </w:r>
          </w:p>
        </w:tc>
        <w:tc>
          <w:tcPr>
            <w:tcW w:type="dxa" w:w="1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Max 20.</w:t>
            </w:r>
          </w:p>
        </w:tc>
      </w:tr>
      <w:tr>
        <w:tc>
          <w:tcPr>
            <w:tcW w:type="dxa" w:w="1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Initiative</w:t>
            </w:r>
          </w:p>
        </w:tc>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Step 8 — raise the count</w:t>
            </w:r>
          </w:p>
        </w:tc>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Step 8</w:t>
            </w:r>
          </w:p>
        </w:tc>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Step 8 — clear the name, or lower the count</w:t>
            </w:r>
          </w:p>
        </w:tc>
        <w:tc>
          <w:tcPr>
            <w:tcW w:type="dxa" w:w="19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Max 20. All initiatives are replaced on every save.</w:t>
            </w:r>
          </w:p>
        </w:tc>
      </w:tr>
      <w:tr>
        <w:tc>
          <w:tcPr>
            <w:tcW w:type="dxa" w:w="1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Capex asset</w:t>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Step 9 — raise the count</w:t>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Step 9</w:t>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Step 9 — clear the name, or lower the count</w:t>
            </w:r>
          </w:p>
        </w:tc>
        <w:tc>
          <w:tcPr>
            <w:tcW w:type="dxa" w:w="1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Max 60.</w:t>
            </w:r>
          </w:p>
        </w:tc>
      </w:tr>
      <w:tr>
        <w:tc>
          <w:tcPr>
            <w:tcW w:type="dxa" w:w="1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Custom statement row</w:t>
            </w:r>
          </w:p>
        </w:tc>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 button beside a subtotal</w:t>
            </w:r>
          </w:p>
        </w:tc>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Pencil icon</w:t>
            </w:r>
          </w:p>
        </w:tc>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Bin icon</w:t>
            </w:r>
          </w:p>
        </w:tc>
        <w:tc>
          <w:tcPr>
            <w:tcW w:type="dxa" w:w="19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Income statement, balance sheet, cash flow and liquidity only.</w:t>
            </w:r>
          </w:p>
        </w:tc>
      </w:tr>
      <w:tr>
        <w:tc>
          <w:tcPr>
            <w:tcW w:type="dxa" w:w="1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ERP connection</w:t>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/data</w:t>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/data (post with an id)</w:t>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/data/connections/:id/delete</w:t>
            </w:r>
          </w:p>
        </w:tc>
        <w:tc>
          <w:tcPr>
            <w:tcW w:type="dxa" w:w="1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Credentials live in environment variables, never in the database.</w:t>
            </w:r>
          </w:p>
        </w:tc>
      </w:tr>
      <w:tr>
        <w:tc>
          <w:tcPr>
            <w:tcW w:type="dxa" w:w="1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Staged import</w:t>
            </w:r>
          </w:p>
        </w:tc>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Upload or Extract</w:t>
            </w:r>
          </w:p>
        </w:tc>
        <w:tc>
          <w:tcPr>
            <w:tcW w:type="dxa" w:w="1900"/>
            <w:shd w:fill="F7F9FC" w:val="clear"/>
            <w:tcMar>
              <w:top w:type="dxa" w:w="70"/>
              <w:left w:type="dxa" w:w="110"/>
              <w:bottom w:type="dxa" w:w="70"/>
              <w:right w:type="dxa" w:w="110"/>
            </w:tcMar>
          </w:tcPr>
          <w:p>
            <w:pPr>
              <w:spacing w:after="0"/>
            </w:pPr>
            <w:r>
              <w:rPr>
                <w:b w:val="false"/>
                <w:bCs w:val="false"/>
                <w:i/>
                <w:iCs/>
                <w:color w:val="000000"/>
                <w:sz w:val="18"/>
                <w:szCs w:val="18"/>
              </w:rPr>
              <w:t xml:space="preserve">Not editable</w:t>
            </w:r>
          </w:p>
        </w:tc>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Reject</w:t>
            </w:r>
          </w:p>
        </w:tc>
        <w:tc>
          <w:tcPr>
            <w:tcW w:type="dxa" w:w="19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Approve writes it into the model; nothing is written before that.</w:t>
            </w:r>
          </w:p>
        </w:tc>
      </w:tr>
    </w:tbl>
    <w:p>
      <w:pPr>
        <w:spacing w:after="80"/>
      </w:pPr>
    </w:p>
    <w:tbl>
      <w:tblPr>
        <w:tblW w:type="dxa" w:w="9360"/>
        <w:tblBorders>
          <w:top w:val="single" w:color="D5DEE8" w:sz="2"/>
          <w:left w:val="single" w:color="2E5C8A" w:sz="12"/>
          <w:bottom w:val="single" w:color="D5DEE8" w:sz="2"/>
          <w:right w:val="single" w:color="D5DEE8" w:sz="2"/>
          <w:insideH w:val="none"/>
          <w:insideV w:val="none"/>
        </w:tblBorders>
      </w:tblPr>
      <w:tblGrid>
        <w:gridCol w:w="9360"/>
      </w:tblGrid>
      <w:tr>
        <w:tc>
          <w:tcPr>
            <w:tcW w:type="dxa" w:w="9360"/>
            <w:shd w:fill="EDF2F8" w:val="clear"/>
            <w:tcMar>
              <w:top w:type="dxa" w:w="120"/>
              <w:left w:type="dxa" w:w="180"/>
              <w:bottom w:type="dxa" w:w="120"/>
              <w:right w:type="dxa" w:w="180"/>
            </w:tcMar>
          </w:tcPr>
          <w:p>
            <w:pPr>
              <w:spacing w:after="60"/>
            </w:pPr>
            <w:r>
              <w:rPr>
                <w:b/>
                <w:bCs/>
                <w:color w:val="1F3864"/>
                <w:sz w:val="20"/>
                <w:szCs w:val="20"/>
              </w:rPr>
              <w:t xml:space="preserve">There is no per-row "Add" or "Delete" button anywhere in the Inputs wizard</w:t>
            </w:r>
          </w:p>
          <w:p>
            <w:pPr>
              <w:spacing w:after="60"/>
            </w:pPr>
            <w:r>
              <w:rPr>
                <w:sz w:val="19"/>
                <w:szCs w:val="19"/>
              </w:rPr>
              <w:t xml:space="preserve">Rows are added by raising a "How many" counter, which RELOADS the page with a query-string parameter. Rows are deleted by clearing their name and saving, or by lowering the counter and saving.</w:t>
            </w:r>
          </w:p>
          <w:p>
            <w:pPr>
              <w:spacing w:after="0"/>
            </w:pPr>
            <w:r>
              <w:rPr>
                <w:sz w:val="19"/>
                <w:szCs w:val="19"/>
              </w:rPr>
              <w:t xml:space="preserve">Two consequences worth a test each: raising the counter loses any unsaved edits on the page, and lowering it does nothing until you press Save.</w:t>
            </w:r>
          </w:p>
        </w:tc>
      </w:tr>
    </w:tbl>
    <w:p>
      <w:pPr>
        <w:spacing w:after="120"/>
      </w:pPr>
    </w:p>
    <w:p>
      <w:pPr>
        <w:pStyle w:val="Heading2"/>
        <w:spacing w:after="120" w:before="280"/>
      </w:pPr>
      <w:r>
        <w:t xml:space="preserve">5.2  Search, filters, sorting and pagination</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100"/>
        <w:gridCol w:w="1600"/>
        <w:gridCol w:w="5660"/>
      </w:tblGrid>
      <w:tr>
        <w:trPr>
          <w:tblHeader/>
        </w:trPr>
        <w:tc>
          <w:tcPr>
            <w:tcW w:type="dxa" w:w="2100"/>
            <w:shd w:fill="1F3864" w:val="clear"/>
            <w:tcMar>
              <w:top w:type="dxa" w:w="70"/>
              <w:left w:type="dxa" w:w="110"/>
              <w:bottom w:type="dxa" w:w="70"/>
              <w:right w:type="dxa" w:w="110"/>
            </w:tcMar>
          </w:tcPr>
          <w:p>
            <w:pPr>
              <w:spacing w:after="0"/>
            </w:pPr>
            <w:r>
              <w:rPr>
                <w:b/>
                <w:bCs/>
                <w:i w:val="false"/>
                <w:iCs w:val="false"/>
                <w:color w:val="FFFFFF"/>
                <w:sz w:val="18"/>
                <w:szCs w:val="18"/>
              </w:rPr>
              <w:t xml:space="preserve">Capability</w:t>
            </w:r>
          </w:p>
        </w:tc>
        <w:tc>
          <w:tcPr>
            <w:tcW w:type="dxa" w:w="1600"/>
            <w:shd w:fill="1F3864" w:val="clear"/>
            <w:tcMar>
              <w:top w:type="dxa" w:w="70"/>
              <w:left w:type="dxa" w:w="110"/>
              <w:bottom w:type="dxa" w:w="70"/>
              <w:right w:type="dxa" w:w="110"/>
            </w:tcMar>
          </w:tcPr>
          <w:p>
            <w:pPr>
              <w:spacing w:after="0"/>
            </w:pPr>
            <w:r>
              <w:rPr>
                <w:b/>
                <w:bCs/>
                <w:i w:val="false"/>
                <w:iCs w:val="false"/>
                <w:color w:val="FFFFFF"/>
                <w:sz w:val="18"/>
                <w:szCs w:val="18"/>
              </w:rPr>
              <w:t xml:space="preserve">Present?</w:t>
            </w:r>
          </w:p>
        </w:tc>
        <w:tc>
          <w:tcPr>
            <w:tcW w:type="dxa" w:w="5660"/>
            <w:shd w:fill="1F3864" w:val="clear"/>
            <w:tcMar>
              <w:top w:type="dxa" w:w="70"/>
              <w:left w:type="dxa" w:w="110"/>
              <w:bottom w:type="dxa" w:w="70"/>
              <w:right w:type="dxa" w:w="110"/>
            </w:tcMar>
          </w:tcPr>
          <w:p>
            <w:pPr>
              <w:spacing w:after="0"/>
            </w:pPr>
            <w:r>
              <w:rPr>
                <w:b/>
                <w:bCs/>
                <w:i w:val="false"/>
                <w:iCs w:val="false"/>
                <w:color w:val="FFFFFF"/>
                <w:sz w:val="18"/>
                <w:szCs w:val="18"/>
              </w:rPr>
              <w:t xml:space="preserve">Detail</w:t>
            </w:r>
          </w:p>
        </w:tc>
      </w:tr>
      <w:tr>
        <w:tc>
          <w:tcPr>
            <w:tcW w:type="dxa" w:w="2100"/>
            <w:shd w:fill="FFFFFF" w:val="clear"/>
            <w:tcMar>
              <w:top w:type="dxa" w:w="70"/>
              <w:left w:type="dxa" w:w="110"/>
              <w:bottom w:type="dxa" w:w="70"/>
              <w:right w:type="dxa" w:w="110"/>
            </w:tcMar>
          </w:tcPr>
          <w:p>
            <w:pPr>
              <w:spacing w:after="0"/>
            </w:pPr>
            <w:r>
              <w:rPr>
                <w:b/>
                <w:bCs/>
                <w:i w:val="false"/>
                <w:iCs w:val="false"/>
                <w:color w:val="000000"/>
                <w:sz w:val="18"/>
                <w:szCs w:val="18"/>
              </w:rPr>
              <w:t xml:space="preserve">Free-text search</w:t>
            </w:r>
          </w:p>
        </w:tc>
        <w:tc>
          <w:tcPr>
            <w:tcW w:type="dxa" w:w="1600"/>
            <w:shd w:fill="FDECEC" w:val="clear"/>
            <w:tcMar>
              <w:top w:type="dxa" w:w="70"/>
              <w:left w:type="dxa" w:w="110"/>
              <w:bottom w:type="dxa" w:w="70"/>
              <w:right w:type="dxa" w:w="110"/>
            </w:tcMar>
          </w:tcPr>
          <w:p>
            <w:pPr>
              <w:spacing w:after="0"/>
            </w:pPr>
            <w:r>
              <w:rPr>
                <w:b w:val="false"/>
                <w:bCs w:val="false"/>
                <w:i w:val="false"/>
                <w:iCs w:val="false"/>
                <w:color w:val="000000"/>
                <w:sz w:val="18"/>
                <w:szCs w:val="18"/>
              </w:rPr>
              <w:t xml:space="preserve">None anywhere</w:t>
            </w:r>
          </w:p>
        </w:tc>
        <w:tc>
          <w:tcPr>
            <w:tcW w:type="dxa" w:w="56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There is no search box on any screen — not on Models, not on Users, not on the audit log, not on import history.</w:t>
            </w:r>
          </w:p>
        </w:tc>
      </w:tr>
      <w:tr>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Scenario filter</w:t>
            </w:r>
          </w:p>
        </w:tc>
        <w:tc>
          <w:tcPr>
            <w:tcW w:type="dxa" w:w="16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Yes</w:t>
            </w:r>
          </w:p>
        </w:tc>
        <w:tc>
          <w:tcPr>
            <w:tcW w:type="dxa" w:w="56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On every output screen and on /compare and /report, as ?scenario=. Auto-submits on change.</w:t>
            </w:r>
          </w:p>
        </w:tc>
      </w:tr>
      <w:tr>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Business-unit filter</w:t>
            </w:r>
          </w:p>
        </w:tc>
        <w:tc>
          <w:tcPr>
            <w:tcW w:type="dxa" w:w="16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Yes</w:t>
            </w:r>
          </w:p>
        </w:tc>
        <w:tc>
          <w:tcPr>
            <w:tcW w:type="dxa" w:w="56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Income statement and Ratios only, as ?sector=. Every other screen is group-only by design.</w:t>
            </w:r>
          </w:p>
        </w:tc>
      </w:tr>
      <w:tr>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Currency selector</w:t>
            </w:r>
          </w:p>
        </w:tc>
        <w:tc>
          <w:tcPr>
            <w:tcW w:type="dxa" w:w="16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Yes</w:t>
            </w:r>
          </w:p>
        </w:tc>
        <w:tc>
          <w:tcPr>
            <w:tcW w:type="dxa" w:w="56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Top bar, session-scoped. Display only.</w:t>
            </w:r>
          </w:p>
        </w:tc>
      </w:tr>
      <w:tr>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Language selector</w:t>
            </w:r>
          </w:p>
        </w:tc>
        <w:tc>
          <w:tcPr>
            <w:tcW w:type="dxa" w:w="16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Yes</w:t>
            </w:r>
          </w:p>
        </w:tc>
        <w:tc>
          <w:tcPr>
            <w:tcW w:type="dxa" w:w="56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Top bar, ?lang=en / ?lang=ar. Switches the whole interface to Arabic with right-to-left layout. Numerals stay Western.</w:t>
            </w:r>
          </w:p>
        </w:tc>
      </w:tr>
      <w:tr>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Model selector</w:t>
            </w:r>
          </w:p>
        </w:tc>
        <w:tc>
          <w:tcPr>
            <w:tcW w:type="dxa" w:w="16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Yes</w:t>
            </w:r>
          </w:p>
        </w:tc>
        <w:tc>
          <w:tcPr>
            <w:tcW w:type="dxa" w:w="56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Top bar. Lists non-archived models only.</w:t>
            </w:r>
          </w:p>
        </w:tc>
      </w:tr>
      <w:tr>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Section selector</w:t>
            </w:r>
          </w:p>
        </w:tc>
        <w:tc>
          <w:tcPr>
            <w:tcW w:type="dxa" w:w="16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Yes</w:t>
            </w:r>
          </w:p>
        </w:tc>
        <w:tc>
          <w:tcPr>
            <w:tcW w:type="dxa" w:w="56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/report only, as ?sections=.</w:t>
            </w:r>
          </w:p>
        </w:tc>
      </w:tr>
      <w:tr>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Model selection for comparison</w:t>
            </w:r>
          </w:p>
        </w:tc>
        <w:tc>
          <w:tcPr>
            <w:tcW w:type="dxa" w:w="16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Yes</w:t>
            </w:r>
          </w:p>
        </w:tc>
        <w:tc>
          <w:tcPr>
            <w:tcW w:type="dxa" w:w="56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/compare, as ?m=. Two to four, non-archived only.</w:t>
            </w:r>
          </w:p>
        </w:tc>
      </w:tr>
      <w:tr>
        <w:tc>
          <w:tcPr>
            <w:tcW w:type="dxa" w:w="2100"/>
            <w:shd w:fill="FFFFFF" w:val="clear"/>
            <w:tcMar>
              <w:top w:type="dxa" w:w="70"/>
              <w:left w:type="dxa" w:w="110"/>
              <w:bottom w:type="dxa" w:w="70"/>
              <w:right w:type="dxa" w:w="110"/>
            </w:tcMar>
          </w:tcPr>
          <w:p>
            <w:pPr>
              <w:spacing w:after="0"/>
            </w:pPr>
            <w:r>
              <w:rPr>
                <w:b/>
                <w:bCs/>
                <w:i w:val="false"/>
                <w:iCs w:val="false"/>
                <w:color w:val="000000"/>
                <w:sz w:val="18"/>
                <w:szCs w:val="18"/>
              </w:rPr>
              <w:t xml:space="preserve">Sorting</w:t>
            </w:r>
          </w:p>
        </w:tc>
        <w:tc>
          <w:tcPr>
            <w:tcW w:type="dxa" w:w="1600"/>
            <w:shd w:fill="FDECEC" w:val="clear"/>
            <w:tcMar>
              <w:top w:type="dxa" w:w="70"/>
              <w:left w:type="dxa" w:w="110"/>
              <w:bottom w:type="dxa" w:w="70"/>
              <w:right w:type="dxa" w:w="110"/>
            </w:tcMar>
          </w:tcPr>
          <w:p>
            <w:pPr>
              <w:spacing w:after="0"/>
            </w:pPr>
            <w:r>
              <w:rPr>
                <w:b w:val="false"/>
                <w:bCs w:val="false"/>
                <w:i w:val="false"/>
                <w:iCs w:val="false"/>
                <w:color w:val="000000"/>
                <w:sz w:val="18"/>
                <w:szCs w:val="18"/>
              </w:rPr>
              <w:t xml:space="preserve">No user control</w:t>
            </w:r>
          </w:p>
        </w:tc>
        <w:tc>
          <w:tcPr>
            <w:tcW w:type="dxa" w:w="56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Every list has a fixed order. Models: active first, sample last, then most recently updated. Business units, facilities, provisions, initiatives and assets: by the sort order set by their position on the form. Audit log and import history: newest first. No column is clickable.</w:t>
            </w:r>
          </w:p>
        </w:tc>
      </w:tr>
      <w:tr>
        <w:tc>
          <w:tcPr>
            <w:tcW w:type="dxa" w:w="2100"/>
            <w:shd w:fill="F7F9FC" w:val="clear"/>
            <w:tcMar>
              <w:top w:type="dxa" w:w="70"/>
              <w:left w:type="dxa" w:w="110"/>
              <w:bottom w:type="dxa" w:w="70"/>
              <w:right w:type="dxa" w:w="110"/>
            </w:tcMar>
          </w:tcPr>
          <w:p>
            <w:pPr>
              <w:spacing w:after="0"/>
            </w:pPr>
            <w:r>
              <w:rPr>
                <w:b/>
                <w:bCs/>
                <w:i w:val="false"/>
                <w:iCs w:val="false"/>
                <w:color w:val="000000"/>
                <w:sz w:val="18"/>
                <w:szCs w:val="18"/>
              </w:rPr>
              <w:t xml:space="preserve">Pagination</w:t>
            </w:r>
          </w:p>
        </w:tc>
        <w:tc>
          <w:tcPr>
            <w:tcW w:type="dxa" w:w="1600"/>
            <w:shd w:fill="FDECEC" w:val="clear"/>
            <w:tcMar>
              <w:top w:type="dxa" w:w="70"/>
              <w:left w:type="dxa" w:w="110"/>
              <w:bottom w:type="dxa" w:w="70"/>
              <w:right w:type="dxa" w:w="110"/>
            </w:tcMar>
          </w:tcPr>
          <w:p>
            <w:pPr>
              <w:spacing w:after="0"/>
            </w:pPr>
            <w:r>
              <w:rPr>
                <w:b w:val="false"/>
                <w:bCs w:val="false"/>
                <w:i w:val="false"/>
                <w:iCs w:val="false"/>
                <w:color w:val="000000"/>
                <w:sz w:val="18"/>
                <w:szCs w:val="18"/>
              </w:rPr>
              <w:t xml:space="preserve">None</w:t>
            </w:r>
          </w:p>
        </w:tc>
        <w:tc>
          <w:tcPr>
            <w:tcW w:type="dxa" w:w="56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Everything is rendered on one page. Fixed caps are applied instead: audit log 30 entries on /account, import history 12 rows, pending imports unbounded. A company with many models renders them all.</w:t>
            </w:r>
          </w:p>
        </w:tc>
      </w:tr>
      <w:tr>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Archive as a filter</w:t>
            </w:r>
          </w:p>
        </w:tc>
        <w:tc>
          <w:tcPr>
            <w:tcW w:type="dxa" w:w="16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Partial</w:t>
            </w:r>
          </w:p>
        </w:tc>
        <w:tc>
          <w:tcPr>
            <w:tcW w:type="dxa" w:w="56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Archived models are excluded from the top-bar switcher and from /compare, but still listed on /models.</w:t>
            </w:r>
          </w:p>
        </w:tc>
      </w:tr>
    </w:tbl>
    <w:p>
      <w:pPr>
        <w:spacing w:after="120"/>
      </w:pPr>
    </w:p>
    <w:p>
      <w:pPr>
        <w:pStyle w:val="Heading2"/>
        <w:spacing w:after="120" w:before="280"/>
      </w:pPr>
      <w:r>
        <w:t xml:space="preserve">5.3  Import, export, download and upload</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900"/>
        <w:gridCol w:w="2400"/>
        <w:gridCol w:w="1900"/>
        <w:gridCol w:w="3160"/>
      </w:tblGrid>
      <w:tr>
        <w:trPr>
          <w:tblHeader/>
        </w:trPr>
        <w:tc>
          <w:tcPr>
            <w:tcW w:type="dxa" w:w="1900"/>
            <w:shd w:fill="1F3864" w:val="clear"/>
            <w:tcMar>
              <w:top w:type="dxa" w:w="70"/>
              <w:left w:type="dxa" w:w="110"/>
              <w:bottom w:type="dxa" w:w="70"/>
              <w:right w:type="dxa" w:w="110"/>
            </w:tcMar>
          </w:tcPr>
          <w:p>
            <w:pPr>
              <w:spacing w:after="0"/>
            </w:pPr>
            <w:r>
              <w:rPr>
                <w:b/>
                <w:bCs/>
                <w:i w:val="false"/>
                <w:iCs w:val="false"/>
                <w:color w:val="FFFFFF"/>
                <w:sz w:val="18"/>
                <w:szCs w:val="18"/>
              </w:rPr>
              <w:t xml:space="preserve">Feature</w:t>
            </w:r>
          </w:p>
        </w:tc>
        <w:tc>
          <w:tcPr>
            <w:tcW w:type="dxa" w:w="2400"/>
            <w:shd w:fill="1F3864" w:val="clear"/>
            <w:tcMar>
              <w:top w:type="dxa" w:w="70"/>
              <w:left w:type="dxa" w:w="110"/>
              <w:bottom w:type="dxa" w:w="70"/>
              <w:right w:type="dxa" w:w="110"/>
            </w:tcMar>
          </w:tcPr>
          <w:p>
            <w:pPr>
              <w:spacing w:after="0"/>
            </w:pPr>
            <w:r>
              <w:rPr>
                <w:b/>
                <w:bCs/>
                <w:i w:val="false"/>
                <w:iCs w:val="false"/>
                <w:color w:val="FFFFFF"/>
                <w:sz w:val="18"/>
                <w:szCs w:val="18"/>
              </w:rPr>
              <w:t xml:space="preserve">Endpoint</w:t>
            </w:r>
          </w:p>
        </w:tc>
        <w:tc>
          <w:tcPr>
            <w:tcW w:type="dxa" w:w="1900"/>
            <w:shd w:fill="1F3864" w:val="clear"/>
            <w:tcMar>
              <w:top w:type="dxa" w:w="70"/>
              <w:left w:type="dxa" w:w="110"/>
              <w:bottom w:type="dxa" w:w="70"/>
              <w:right w:type="dxa" w:w="110"/>
            </w:tcMar>
          </w:tcPr>
          <w:p>
            <w:pPr>
              <w:spacing w:after="0"/>
            </w:pPr>
            <w:r>
              <w:rPr>
                <w:b/>
                <w:bCs/>
                <w:i w:val="false"/>
                <w:iCs w:val="false"/>
                <w:color w:val="FFFFFF"/>
                <w:sz w:val="18"/>
                <w:szCs w:val="18"/>
              </w:rPr>
              <w:t xml:space="preserve">Format</w:t>
            </w:r>
          </w:p>
        </w:tc>
        <w:tc>
          <w:tcPr>
            <w:tcW w:type="dxa" w:w="3160"/>
            <w:shd w:fill="1F3864" w:val="clear"/>
            <w:tcMar>
              <w:top w:type="dxa" w:w="70"/>
              <w:left w:type="dxa" w:w="110"/>
              <w:bottom w:type="dxa" w:w="70"/>
              <w:right w:type="dxa" w:w="110"/>
            </w:tcMar>
          </w:tcPr>
          <w:p>
            <w:pPr>
              <w:spacing w:after="0"/>
            </w:pPr>
            <w:r>
              <w:rPr>
                <w:b/>
                <w:bCs/>
                <w:i w:val="false"/>
                <w:iCs w:val="false"/>
                <w:color w:val="FFFFFF"/>
                <w:sz w:val="18"/>
                <w:szCs w:val="18"/>
              </w:rPr>
              <w:t xml:space="preserve">Notes</w:t>
            </w:r>
          </w:p>
        </w:tc>
      </w:tr>
      <w:tr>
        <w:tc>
          <w:tcPr>
            <w:tcW w:type="dxa" w:w="1900"/>
            <w:shd w:fill="FFFFFF" w:val="clear"/>
            <w:tcMar>
              <w:top w:type="dxa" w:w="70"/>
              <w:left w:type="dxa" w:w="110"/>
              <w:bottom w:type="dxa" w:w="70"/>
              <w:right w:type="dxa" w:w="110"/>
            </w:tcMar>
          </w:tcPr>
          <w:p>
            <w:pPr>
              <w:spacing w:after="0"/>
            </w:pPr>
            <w:r>
              <w:rPr>
                <w:b/>
                <w:bCs/>
                <w:i w:val="false"/>
                <w:iCs w:val="false"/>
                <w:color w:val="000000"/>
                <w:sz w:val="18"/>
                <w:szCs w:val="18"/>
              </w:rPr>
              <w:t xml:space="preserve">DOWNLOAD</w:t>
            </w:r>
          </w:p>
        </w:tc>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
            </w:r>
          </w:p>
        </w:tc>
        <w:tc>
          <w:tcPr>
            <w:tcW w:type="dxa" w:w="31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
            </w:r>
          </w:p>
        </w:tc>
      </w:tr>
      <w:tr>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Statement CSV</w:t>
            </w:r>
          </w:p>
        </w:tc>
        <w:tc>
          <w:tcPr>
            <w:tcW w:type="dxa" w:w="2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/outputs/export/&lt;statement&gt;.csv</w:t>
            </w:r>
          </w:p>
        </w:tc>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CSV, UTF-8</w:t>
            </w:r>
          </w:p>
        </w:tc>
        <w:tc>
          <w:tcPr>
            <w:tcW w:type="dxa" w:w="31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Income statement, cash flow, balance sheet and ratios only. Filename "&lt;statement&gt;-&lt;scenario&gt;.csv". Amounts at 2dp in the presentation currency; ratios never translated. The balance sheet export includes the opening column.</w:t>
            </w:r>
          </w:p>
        </w:tc>
      </w:tr>
      <w:tr>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Spreadsheet template</w:t>
            </w:r>
          </w:p>
        </w:tc>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/data/template/&lt;kind&gt;.xlsx</w:t>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XLSX</w:t>
            </w:r>
          </w:p>
        </w:tc>
        <w:tc>
          <w:tcPr>
            <w:tcW w:type="dxa" w:w="31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Real workbook with sized columns. Pre-populated with this model's units and years.</w:t>
            </w:r>
          </w:p>
        </w:tc>
      </w:tr>
      <w:tr>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Spreadsheet template</w:t>
            </w:r>
          </w:p>
        </w:tc>
        <w:tc>
          <w:tcPr>
            <w:tcW w:type="dxa" w:w="2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/data/template/&lt;kind&gt;.csv</w:t>
            </w:r>
          </w:p>
        </w:tc>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CSV with BOM</w:t>
            </w:r>
          </w:p>
        </w:tc>
        <w:tc>
          <w:tcPr>
            <w:tcW w:type="dxa" w:w="31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byte-order mark makes Excel open Arabic unit names correctly.</w:t>
            </w:r>
          </w:p>
        </w:tc>
      </w:tr>
      <w:tr>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Report / any screen</w:t>
            </w:r>
          </w:p>
        </w:tc>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Print button</w:t>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Browser print</w:t>
            </w:r>
          </w:p>
        </w:tc>
        <w:tc>
          <w:tcPr>
            <w:tcW w:type="dxa" w:w="31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print stylesheet is applied. There is no server-side PDF generation.</w:t>
            </w:r>
          </w:p>
        </w:tc>
      </w:tr>
      <w:tr>
        <w:tc>
          <w:tcPr>
            <w:tcW w:type="dxa" w:w="1900"/>
            <w:shd w:fill="F7F9FC" w:val="clear"/>
            <w:tcMar>
              <w:top w:type="dxa" w:w="70"/>
              <w:left w:type="dxa" w:w="110"/>
              <w:bottom w:type="dxa" w:w="70"/>
              <w:right w:type="dxa" w:w="110"/>
            </w:tcMar>
          </w:tcPr>
          <w:p>
            <w:pPr>
              <w:spacing w:after="0"/>
            </w:pPr>
            <w:r>
              <w:rPr>
                <w:b/>
                <w:bCs/>
                <w:i w:val="false"/>
                <w:iCs w:val="false"/>
                <w:color w:val="000000"/>
                <w:sz w:val="18"/>
                <w:szCs w:val="18"/>
              </w:rPr>
              <w:t xml:space="preserve">UPLOAD</w:t>
            </w:r>
          </w:p>
        </w:tc>
        <w:tc>
          <w:tcPr>
            <w:tcW w:type="dxa" w:w="2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
            </w:r>
          </w:p>
        </w:tc>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
            </w:r>
          </w:p>
        </w:tc>
        <w:tc>
          <w:tcPr>
            <w:tcW w:type="dxa" w:w="31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
            </w:r>
          </w:p>
        </w:tc>
      </w:tr>
      <w:tr>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Filled-in template</w:t>
            </w:r>
          </w:p>
        </w:tc>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/data/upload/&lt;kind&gt;</w:t>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XLSX or CSV, or pasted text</w:t>
            </w:r>
          </w:p>
        </w:tc>
        <w:tc>
          <w:tcPr>
            <w:tcW w:type="dxa" w:w="31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Read in the browser and posted base64. Rejected above ~10 MB encoded; request body limit 12 MB. Staged, never applied directly.</w:t>
            </w:r>
          </w:p>
        </w:tc>
      </w:tr>
      <w:tr>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Company logo</w:t>
            </w:r>
          </w:p>
        </w:tc>
        <w:tc>
          <w:tcPr>
            <w:tcW w:type="dxa" w:w="2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/admin/companies/:id/logo</w:t>
            </w:r>
          </w:p>
        </w:tc>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PNG, JPEG, GIF, WebP, SVG</w:t>
            </w:r>
          </w:p>
        </w:tc>
        <w:tc>
          <w:tcPr>
            <w:tcW w:type="dxa" w:w="31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Posted base64. Must match a data:image pattern. Max 512 KB measured after decoding. Stored with the company, not on disk.</w:t>
            </w:r>
          </w:p>
        </w:tc>
      </w:tr>
      <w:tr>
        <w:tc>
          <w:tcPr>
            <w:tcW w:type="dxa" w:w="1900"/>
            <w:shd w:fill="FFFFFF" w:val="clear"/>
            <w:tcMar>
              <w:top w:type="dxa" w:w="70"/>
              <w:left w:type="dxa" w:w="110"/>
              <w:bottom w:type="dxa" w:w="70"/>
              <w:right w:type="dxa" w:w="110"/>
            </w:tcMar>
          </w:tcPr>
          <w:p>
            <w:pPr>
              <w:spacing w:after="0"/>
            </w:pPr>
            <w:r>
              <w:rPr>
                <w:b/>
                <w:bCs/>
                <w:i w:val="false"/>
                <w:iCs w:val="false"/>
                <w:color w:val="000000"/>
                <w:sz w:val="18"/>
                <w:szCs w:val="18"/>
              </w:rPr>
              <w:t xml:space="preserve">PULL</w:t>
            </w:r>
          </w:p>
        </w:tc>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
            </w:r>
          </w:p>
        </w:tc>
        <w:tc>
          <w:tcPr>
            <w:tcW w:type="dxa" w:w="31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
            </w:r>
          </w:p>
        </w:tc>
      </w:tr>
      <w:tr>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ERP extraction</w:t>
            </w:r>
          </w:p>
        </w:tc>
        <w:tc>
          <w:tcPr>
            <w:tcW w:type="dxa" w:w="2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/data/connections/:id/extract</w:t>
            </w:r>
          </w:p>
        </w:tc>
        <w:tc>
          <w:tcPr>
            <w:tcW w:type="dxa" w:w="19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JSON from a REST endpoint</w:t>
            </w:r>
          </w:p>
        </w:tc>
        <w:tc>
          <w:tcPr>
            <w:tcW w:type="dxa" w:w="31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Tolerant about column names, strict about numbers. Staged as pending. A failure is reported, never fatal.</w:t>
            </w:r>
          </w:p>
        </w:tc>
      </w:tr>
      <w:tr>
        <w:tc>
          <w:tcPr>
            <w:tcW w:type="dxa" w:w="1900"/>
            <w:shd w:fill="FDECEC" w:val="clear"/>
            <w:tcMar>
              <w:top w:type="dxa" w:w="70"/>
              <w:left w:type="dxa" w:w="110"/>
              <w:bottom w:type="dxa" w:w="70"/>
              <w:right w:type="dxa" w:w="110"/>
            </w:tcMar>
          </w:tcPr>
          <w:p>
            <w:pPr>
              <w:spacing w:after="0"/>
            </w:pPr>
            <w:r>
              <w:rPr>
                <w:b/>
                <w:bCs/>
                <w:i w:val="false"/>
                <w:iCs w:val="false"/>
                <w:color w:val="000000"/>
                <w:sz w:val="18"/>
                <w:szCs w:val="18"/>
              </w:rPr>
              <w:t xml:space="preserve">NOT AVAILABLE</w:t>
            </w:r>
          </w:p>
        </w:tc>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
            </w:r>
          </w:p>
        </w:tc>
        <w:tc>
          <w:tcPr>
            <w:tcW w:type="dxa" w:w="19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
            </w:r>
          </w:p>
        </w:tc>
        <w:tc>
          <w:tcPr>
            <w:tcW w:type="dxa" w:w="3160"/>
            <w:shd w:fill="FDECEC" w:val="clear"/>
            <w:tcMar>
              <w:top w:type="dxa" w:w="70"/>
              <w:left w:type="dxa" w:w="110"/>
              <w:bottom w:type="dxa" w:w="70"/>
              <w:right w:type="dxa" w:w="110"/>
            </w:tcMar>
          </w:tcPr>
          <w:p>
            <w:pPr>
              <w:spacing w:after="0"/>
            </w:pPr>
            <w:r>
              <w:rPr>
                <w:b w:val="false"/>
                <w:bCs w:val="false"/>
                <w:i w:val="false"/>
                <w:iCs w:val="false"/>
                <w:color w:val="000000"/>
                <w:sz w:val="18"/>
                <w:szCs w:val="18"/>
              </w:rPr>
              <w:t xml:space="preserve">No PDF export, no Excel export of the statements (CSV only), no import of depreciation or capex actuals, no import of the opening balance sheet, debt or initiatives, no full-model export or backup from the UI.</w:t>
            </w:r>
          </w:p>
        </w:tc>
      </w:tr>
    </w:tbl>
    <w:p>
      <w:pPr>
        <w:spacing w:after="120"/>
      </w:pPr>
    </w:p>
    <w:p>
      <w:pPr>
        <w:pStyle w:val="Heading2"/>
        <w:spacing w:after="120" w:before="280"/>
      </w:pPr>
      <w:r>
        <w:t xml:space="preserve">5.4  Navigation</w:t>
      </w:r>
    </w:p>
    <w:p>
      <w:pPr>
        <w:pStyle w:val="ListParagraph"/>
        <w:numPr>
          <w:ilvl w:val="0"/>
          <w:numId w:val="3"/>
        </w:numPr>
        <w:spacing w:after="60"/>
      </w:pPr>
      <w:r>
        <w:rPr>
          <w:sz w:val="20"/>
          <w:szCs w:val="20"/>
        </w:rPr>
        <w:t xml:space="preserve">Two header rows. The top row carries the company identity (logo or initials), the language toggle, the profile menu and the settings menu. The second row carries the main navigation, the model switcher, the currency switcher and — on Inputs only — Undo / Redo.</w:t>
      </w:r>
    </w:p>
    <w:p>
      <w:pPr>
        <w:pStyle w:val="ListParagraph"/>
        <w:numPr>
          <w:ilvl w:val="0"/>
          <w:numId w:val="3"/>
        </w:numPr>
        <w:spacing w:after="60"/>
      </w:pPr>
      <w:r>
        <w:rPr>
          <w:sz w:val="20"/>
          <w:szCs w:val="20"/>
        </w:rPr>
        <w:t xml:space="preserve">Main navigation for model users: Models · Inputs · Outputs · Model comparison · Report · Data. Inputs and Data are hidden from the Board / outputs-only role. For the Super administrator the whole bar is replaced by Companies · Users &amp; access.</w:t>
      </w:r>
    </w:p>
    <w:p>
      <w:pPr>
        <w:pStyle w:val="ListParagraph"/>
        <w:numPr>
          <w:ilvl w:val="0"/>
          <w:numId w:val="3"/>
        </w:numPr>
        <w:spacing w:after="60"/>
      </w:pPr>
      <w:r>
        <w:rPr>
          <w:sz w:val="20"/>
          <w:szCs w:val="20"/>
        </w:rPr>
        <w:t xml:space="preserve">Inputs has a ten-chip step strip. On a narrow screen the strip scrolls and the active chip is scrolled into view automatically.</w:t>
      </w:r>
    </w:p>
    <w:p>
      <w:pPr>
        <w:pStyle w:val="ListParagraph"/>
        <w:numPr>
          <w:ilvl w:val="0"/>
          <w:numId w:val="3"/>
        </w:numPr>
        <w:spacing w:after="60"/>
      </w:pPr>
      <w:r>
        <w:rPr>
          <w:sz w:val="20"/>
          <w:szCs w:val="20"/>
        </w:rPr>
        <w:t xml:space="preserve">Outputs has a ten-tab strip. Switching tabs preserves the current scenario, and preserves the segment where the destination supports one.</w:t>
      </w:r>
    </w:p>
    <w:p>
      <w:pPr>
        <w:pStyle w:val="ListParagraph"/>
        <w:numPr>
          <w:ilvl w:val="0"/>
          <w:numId w:val="3"/>
        </w:numPr>
        <w:spacing w:after="60"/>
      </w:pPr>
      <w:r>
        <w:rPr>
          <w:sz w:val="20"/>
          <w:szCs w:val="20"/>
        </w:rPr>
        <w:t xml:space="preserve">The active item in every nav is highlighted by URL prefix.</w:t>
      </w:r>
    </w:p>
    <w:p>
      <w:pPr>
        <w:pStyle w:val="ListParagraph"/>
        <w:numPr>
          <w:ilvl w:val="0"/>
          <w:numId w:val="3"/>
        </w:numPr>
        <w:spacing w:after="60"/>
      </w:pPr>
      <w:r>
        <w:rPr>
          <w:sz w:val="20"/>
          <w:szCs w:val="20"/>
        </w:rPr>
        <w:t xml:space="preserve">A mobile nav toggle collapses the bar below the tablet breakpoint.</w:t>
      </w:r>
    </w:p>
    <w:p>
      <w:pPr>
        <w:pStyle w:val="ListParagraph"/>
        <w:numPr>
          <w:ilvl w:val="0"/>
          <w:numId w:val="3"/>
        </w:numPr>
        <w:spacing w:after="60"/>
      </w:pPr>
      <w:r>
        <w:rPr>
          <w:sz w:val="20"/>
          <w:szCs w:val="20"/>
        </w:rPr>
        <w:t xml:space="preserve">The layout has been built for desktop, tablet (768px) and mobile (375px). Wide tables scroll inside their own container rather than making the page scroll sideways.</w:t>
      </w:r>
    </w:p>
    <w:p>
      <w:pPr>
        <w:pStyle w:val="ListParagraph"/>
        <w:numPr>
          <w:ilvl w:val="0"/>
          <w:numId w:val="3"/>
        </w:numPr>
        <w:spacing w:after="60"/>
      </w:pPr>
      <w:r>
        <w:rPr>
          <w:sz w:val="20"/>
          <w:szCs w:val="20"/>
        </w:rPr>
        <w:t xml:space="preserve">An orange "acting elsewhere" bar appears across every page when a platform administrator has stepped into another company, with a one-click return.</w:t>
      </w:r>
    </w:p>
    <w:p>
      <w:pPr>
        <w:spacing w:after="80"/>
      </w:pPr>
    </w:p>
    <w:tbl>
      <w:tblPr>
        <w:tblW w:type="dxa" w:w="9360"/>
        <w:tblBorders>
          <w:top w:val="single" w:color="D5DEE8" w:sz="2"/>
          <w:left w:val="single" w:color="D48806" w:sz="12"/>
          <w:bottom w:val="single" w:color="D5DEE8" w:sz="2"/>
          <w:right w:val="single" w:color="D5DEE8" w:sz="2"/>
          <w:insideH w:val="none"/>
          <w:insideV w:val="none"/>
        </w:tblBorders>
      </w:tblPr>
      <w:tblGrid>
        <w:gridCol w:w="9360"/>
      </w:tblGrid>
      <w:tr>
        <w:tc>
          <w:tcPr>
            <w:tcW w:type="dxa" w:w="9360"/>
            <w:shd w:fill="FFF4E0" w:val="clear"/>
            <w:tcMar>
              <w:top w:type="dxa" w:w="120"/>
              <w:left w:type="dxa" w:w="180"/>
              <w:bottom w:type="dxa" w:w="120"/>
              <w:right w:type="dxa" w:w="180"/>
            </w:tcMar>
          </w:tcPr>
          <w:p>
            <w:pPr>
              <w:spacing w:after="60"/>
            </w:pPr>
            <w:r>
              <w:rPr>
                <w:b/>
                <w:bCs/>
                <w:color w:val="1F3864"/>
                <w:sz w:val="20"/>
                <w:szCs w:val="20"/>
              </w:rPr>
              <w:t xml:space="preserve">Navigation traps worth a test</w:t>
            </w:r>
          </w:p>
          <w:p>
            <w:pPr>
              <w:spacing w:after="60"/>
            </w:pPr>
            <w:r>
              <w:rPr>
                <w:sz w:val="19"/>
                <w:szCs w:val="19"/>
              </w:rPr>
              <w:t xml:space="preserve">Step chips and nav links do NOT save. Any unsaved edits are lost silently, with no "you have unsaved changes" prompt.</w:t>
            </w:r>
          </w:p>
          <w:p>
            <w:pPr>
              <w:spacing w:after="60"/>
            </w:pPr>
            <w:r>
              <w:rPr>
                <w:sz w:val="19"/>
                <w:szCs w:val="19"/>
              </w:rPr>
              <w:t xml:space="preserve">The "How many" counters navigate too — same effect.</w:t>
            </w:r>
          </w:p>
          <w:p>
            <w:pPr>
              <w:spacing w:after="0"/>
            </w:pPr>
            <w:r>
              <w:rPr>
                <w:sz w:val="19"/>
                <w:szCs w:val="19"/>
              </w:rPr>
              <w:t xml:space="preserve">The Settings menu contains four links to anchors that do not exist (D3).</w:t>
            </w:r>
          </w:p>
        </w:tc>
      </w:tr>
    </w:tbl>
    <w:p>
      <w:pPr>
        <w:spacing w:after="120"/>
      </w:pPr>
    </w:p>
    <w:p>
      <w:pPr>
        <w:pStyle w:val="Heading2"/>
        <w:spacing w:after="120" w:before="280"/>
      </w:pPr>
      <w:r>
        <w:t xml:space="preserve">5.5  Data persistence</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400"/>
        <w:gridCol w:w="2200"/>
        <w:gridCol w:w="2400"/>
        <w:gridCol w:w="2360"/>
      </w:tblGrid>
      <w:tr>
        <w:trPr>
          <w:tblHeader/>
        </w:trPr>
        <w:tc>
          <w:tcPr>
            <w:tcW w:type="dxa" w:w="2400"/>
            <w:shd w:fill="1F3864" w:val="clear"/>
            <w:tcMar>
              <w:top w:type="dxa" w:w="70"/>
              <w:left w:type="dxa" w:w="110"/>
              <w:bottom w:type="dxa" w:w="70"/>
              <w:right w:type="dxa" w:w="110"/>
            </w:tcMar>
          </w:tcPr>
          <w:p>
            <w:pPr>
              <w:spacing w:after="0"/>
            </w:pPr>
            <w:r>
              <w:rPr>
                <w:b/>
                <w:bCs/>
                <w:i w:val="false"/>
                <w:iCs w:val="false"/>
                <w:color w:val="FFFFFF"/>
                <w:sz w:val="18"/>
                <w:szCs w:val="18"/>
              </w:rPr>
              <w:t xml:space="preserve">What</w:t>
            </w:r>
          </w:p>
        </w:tc>
        <w:tc>
          <w:tcPr>
            <w:tcW w:type="dxa" w:w="2200"/>
            <w:shd w:fill="1F3864" w:val="clear"/>
            <w:tcMar>
              <w:top w:type="dxa" w:w="70"/>
              <w:left w:type="dxa" w:w="110"/>
              <w:bottom w:type="dxa" w:w="70"/>
              <w:right w:type="dxa" w:w="110"/>
            </w:tcMar>
          </w:tcPr>
          <w:p>
            <w:pPr>
              <w:spacing w:after="0"/>
            </w:pPr>
            <w:r>
              <w:rPr>
                <w:b/>
                <w:bCs/>
                <w:i w:val="false"/>
                <w:iCs w:val="false"/>
                <w:color w:val="FFFFFF"/>
                <w:sz w:val="18"/>
                <w:szCs w:val="18"/>
              </w:rPr>
              <w:t xml:space="preserve">Where it is held</w:t>
            </w:r>
          </w:p>
        </w:tc>
        <w:tc>
          <w:tcPr>
            <w:tcW w:type="dxa" w:w="2400"/>
            <w:shd w:fill="1F3864" w:val="clear"/>
            <w:tcMar>
              <w:top w:type="dxa" w:w="70"/>
              <w:left w:type="dxa" w:w="110"/>
              <w:bottom w:type="dxa" w:w="70"/>
              <w:right w:type="dxa" w:w="110"/>
            </w:tcMar>
          </w:tcPr>
          <w:p>
            <w:pPr>
              <w:spacing w:after="0"/>
            </w:pPr>
            <w:r>
              <w:rPr>
                <w:b/>
                <w:bCs/>
                <w:i w:val="false"/>
                <w:iCs w:val="false"/>
                <w:color w:val="FFFFFF"/>
                <w:sz w:val="18"/>
                <w:szCs w:val="18"/>
              </w:rPr>
              <w:t xml:space="preserve">Survives a sign-out?</w:t>
            </w:r>
          </w:p>
        </w:tc>
        <w:tc>
          <w:tcPr>
            <w:tcW w:type="dxa" w:w="2360"/>
            <w:shd w:fill="1F3864" w:val="clear"/>
            <w:tcMar>
              <w:top w:type="dxa" w:w="70"/>
              <w:left w:type="dxa" w:w="110"/>
              <w:bottom w:type="dxa" w:w="70"/>
              <w:right w:type="dxa" w:w="110"/>
            </w:tcMar>
          </w:tcPr>
          <w:p>
            <w:pPr>
              <w:spacing w:after="0"/>
            </w:pPr>
            <w:r>
              <w:rPr>
                <w:b/>
                <w:bCs/>
                <w:i w:val="false"/>
                <w:iCs w:val="false"/>
                <w:color w:val="FFFFFF"/>
                <w:sz w:val="18"/>
                <w:szCs w:val="18"/>
              </w:rPr>
              <w:t xml:space="preserve">Survives a server restart?</w:t>
            </w:r>
          </w:p>
        </w:tc>
      </w:tr>
      <w:tr>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Every model input</w:t>
            </w:r>
          </w:p>
        </w:tc>
        <w:tc>
          <w:tcPr>
            <w:tcW w:type="dxa" w:w="2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MySQL</w:t>
            </w:r>
          </w:p>
        </w:tc>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Yes</w:t>
            </w:r>
          </w:p>
        </w:tc>
        <w:tc>
          <w:tcPr>
            <w:tcW w:type="dxa" w:w="23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Yes</w:t>
            </w:r>
          </w:p>
        </w:tc>
      </w:tr>
      <w:tr>
        <w:tc>
          <w:tcPr>
            <w:tcW w:type="dxa" w:w="2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Which model you are working in</w:t>
            </w:r>
          </w:p>
        </w:tc>
        <w:tc>
          <w:tcPr>
            <w:tcW w:type="dxa" w:w="2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Session</w:t>
            </w:r>
          </w:p>
        </w:tc>
        <w:tc>
          <w:tcPr>
            <w:tcW w:type="dxa" w:w="2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 — resets to the company's oldest active model</w:t>
            </w:r>
          </w:p>
        </w:tc>
        <w:tc>
          <w:tcPr>
            <w:tcW w:type="dxa" w:w="23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Depends on the session store; the default in-memory store loses it</w:t>
            </w:r>
          </w:p>
        </w:tc>
      </w:tr>
      <w:tr>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Presentation currency</w:t>
            </w:r>
          </w:p>
        </w:tc>
        <w:tc>
          <w:tcPr>
            <w:tcW w:type="dxa" w:w="2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Session</w:t>
            </w:r>
          </w:p>
        </w:tc>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 — resets to the model currency</w:t>
            </w:r>
          </w:p>
        </w:tc>
        <w:tc>
          <w:tcPr>
            <w:tcW w:type="dxa" w:w="23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r>
      <w:tr>
        <w:tc>
          <w:tcPr>
            <w:tcW w:type="dxa" w:w="2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Language</w:t>
            </w:r>
          </w:p>
        </w:tc>
        <w:tc>
          <w:tcPr>
            <w:tcW w:type="dxa" w:w="2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Session</w:t>
            </w:r>
          </w:p>
        </w:tc>
        <w:tc>
          <w:tcPr>
            <w:tcW w:type="dxa" w:w="2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 — resets to English</w:t>
            </w:r>
          </w:p>
        </w:tc>
        <w:tc>
          <w:tcPr>
            <w:tcW w:type="dxa" w:w="23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r>
      <w:tr>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"Acting in another company"</w:t>
            </w:r>
          </w:p>
        </w:tc>
        <w:tc>
          <w:tcPr>
            <w:tcW w:type="dxa" w:w="2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Session</w:t>
            </w:r>
          </w:p>
        </w:tc>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3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r>
      <w:tr>
        <w:tc>
          <w:tcPr>
            <w:tcW w:type="dxa" w:w="2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 password shown once after a reset</w:t>
            </w:r>
          </w:p>
        </w:tc>
        <w:tc>
          <w:tcPr>
            <w:tcW w:type="dxa" w:w="2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Session, deleted on first render</w:t>
            </w:r>
          </w:p>
        </w:tc>
        <w:tc>
          <w:tcPr>
            <w:tcW w:type="dxa" w:w="2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3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r>
      <w:tr>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Flash messages</w:t>
            </w:r>
          </w:p>
        </w:tc>
        <w:tc>
          <w:tcPr>
            <w:tcW w:type="dxa" w:w="2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Session, deleted on first render</w:t>
            </w:r>
          </w:p>
        </w:tc>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c>
          <w:tcPr>
            <w:tcW w:type="dxa" w:w="23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w:t>
            </w:r>
          </w:p>
        </w:tc>
      </w:tr>
      <w:tr>
        <w:tc>
          <w:tcPr>
            <w:tcW w:type="dxa" w:w="2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Undo / redo history</w:t>
            </w:r>
          </w:p>
        </w:tc>
        <w:tc>
          <w:tcPr>
            <w:tcW w:type="dxa" w:w="2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Browser memory only</w:t>
            </w:r>
          </w:p>
        </w:tc>
        <w:tc>
          <w:tcPr>
            <w:tcW w:type="dxa" w:w="2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 — lost on any page load</w:t>
            </w:r>
          </w:p>
        </w:tc>
        <w:tc>
          <w:tcPr>
            <w:tcW w:type="dxa" w:w="23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N/A</w:t>
            </w:r>
          </w:p>
        </w:tc>
      </w:tr>
      <w:tr>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Failed sign-in counter</w:t>
            </w:r>
          </w:p>
        </w:tc>
        <w:tc>
          <w:tcPr>
            <w:tcW w:type="dxa" w:w="2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Server memory</w:t>
            </w:r>
          </w:p>
        </w:tc>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N/A</w:t>
            </w:r>
          </w:p>
        </w:tc>
        <w:tc>
          <w:tcPr>
            <w:tcW w:type="dxa" w:w="2360"/>
            <w:shd w:fill="FFFFFF" w:val="clear"/>
            <w:tcMar>
              <w:top w:type="dxa" w:w="70"/>
              <w:left w:type="dxa" w:w="110"/>
              <w:bottom w:type="dxa" w:w="70"/>
              <w:right w:type="dxa" w:w="110"/>
            </w:tcMar>
          </w:tcPr>
          <w:p>
            <w:pPr>
              <w:spacing w:after="0"/>
            </w:pPr>
            <w:r>
              <w:rPr>
                <w:b/>
                <w:bCs/>
                <w:i w:val="false"/>
                <w:iCs w:val="false"/>
                <w:color w:val="000000"/>
                <w:sz w:val="18"/>
                <w:szCs w:val="18"/>
              </w:rPr>
              <w:t xml:space="preserve">No — restarting clears the rate limit</w:t>
            </w:r>
          </w:p>
        </w:tc>
      </w:tr>
      <w:tr>
        <w:tc>
          <w:tcPr>
            <w:tcW w:type="dxa" w:w="2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Scenario and segment selection</w:t>
            </w:r>
          </w:p>
        </w:tc>
        <w:tc>
          <w:tcPr>
            <w:tcW w:type="dxa" w:w="2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URL query string only</w:t>
            </w:r>
          </w:p>
        </w:tc>
        <w:tc>
          <w:tcPr>
            <w:tcW w:type="dxa" w:w="2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N/A — not persisted at all</w:t>
            </w:r>
          </w:p>
        </w:tc>
        <w:tc>
          <w:tcPr>
            <w:tcW w:type="dxa" w:w="23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N/A</w:t>
            </w:r>
          </w:p>
        </w:tc>
      </w:tr>
      <w:tr>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Staged imports</w:t>
            </w:r>
          </w:p>
        </w:tc>
        <w:tc>
          <w:tcPr>
            <w:tcW w:type="dxa" w:w="2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MySQL, as pending</w:t>
            </w:r>
          </w:p>
        </w:tc>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Yes</w:t>
            </w:r>
          </w:p>
        </w:tc>
        <w:tc>
          <w:tcPr>
            <w:tcW w:type="dxa" w:w="23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Yes</w:t>
            </w:r>
          </w:p>
        </w:tc>
      </w:tr>
      <w:tr>
        <w:tc>
          <w:tcPr>
            <w:tcW w:type="dxa" w:w="2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Audit log</w:t>
            </w:r>
          </w:p>
        </w:tc>
        <w:tc>
          <w:tcPr>
            <w:tcW w:type="dxa" w:w="2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MySQL</w:t>
            </w:r>
          </w:p>
        </w:tc>
        <w:tc>
          <w:tcPr>
            <w:tcW w:type="dxa" w:w="2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Yes</w:t>
            </w:r>
          </w:p>
        </w:tc>
        <w:tc>
          <w:tcPr>
            <w:tcW w:type="dxa" w:w="23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Yes</w:t>
            </w:r>
          </w:p>
        </w:tc>
      </w:tr>
    </w:tbl>
    <w:p>
      <w:pPr>
        <w:spacing w:after="80"/>
      </w:pPr>
    </w:p>
    <w:p>
      <w:pPr>
        <w:pStyle w:val="ListParagraph"/>
        <w:numPr>
          <w:ilvl w:val="0"/>
          <w:numId w:val="3"/>
        </w:numPr>
        <w:spacing w:after="60"/>
      </w:pPr>
      <w:r>
        <w:rPr>
          <w:sz w:val="20"/>
          <w:szCs w:val="20"/>
        </w:rPr>
        <w:t xml:space="preserve">Session cookie: name fm.sid, httpOnly, sameSite=lax, secure in production, 8-hour lifetime, rolling (each request extends it).</w:t>
      </w:r>
    </w:p>
    <w:p>
      <w:pPr>
        <w:pStyle w:val="ListParagraph"/>
        <w:numPr>
          <w:ilvl w:val="0"/>
          <w:numId w:val="3"/>
        </w:numPr>
        <w:spacing w:after="60"/>
      </w:pPr>
      <w:r>
        <w:rPr>
          <w:sz w:val="20"/>
          <w:szCs w:val="20"/>
        </w:rPr>
        <w:t xml:space="preserve">The session is regenerated on sign-in, which defeats session fixation.</w:t>
      </w:r>
    </w:p>
    <w:p>
      <w:pPr>
        <w:pStyle w:val="ListParagraph"/>
        <w:numPr>
          <w:ilvl w:val="0"/>
          <w:numId w:val="3"/>
        </w:numPr>
        <w:spacing w:after="60"/>
      </w:pPr>
      <w:r>
        <w:rPr>
          <w:sz w:val="20"/>
          <w:szCs w:val="20"/>
        </w:rPr>
        <w:t xml:space="preserve">Nothing is cached: every output page recalculates the whole model from the database on every request.</w:t>
      </w:r>
    </w:p>
    <w:p>
      <w:pPr>
        <w:pStyle w:val="ListParagraph"/>
        <w:numPr>
          <w:ilvl w:val="0"/>
          <w:numId w:val="3"/>
        </w:numPr>
        <w:spacing w:after="60"/>
      </w:pPr>
      <w:r>
        <w:rPr>
          <w:sz w:val="20"/>
          <w:szCs w:val="20"/>
        </w:rPr>
        <w:t xml:space="preserve">Audit entries are written for: model creation, horizon change, every input step save, initiative driver saves, model close and reopen, and import approvals. Auditing never breaks a save — a failure to log is swallowed.</w:t>
      </w:r>
    </w:p>
    <w:p>
      <w:pPr>
        <w:spacing w:after="120"/>
      </w:pPr>
    </w:p>
    <w:p>
      <w:pPr>
        <w:pStyle w:val="Heading2"/>
        <w:spacing w:after="120" w:before="280"/>
      </w:pPr>
      <w:r>
        <w:t xml:space="preserve">5.6  Error handling and validation — the general picture</w:t>
      </w:r>
    </w:p>
    <w:p>
      <w:pPr>
        <w:pStyle w:val="Heading3"/>
        <w:spacing w:after="100" w:before="220"/>
      </w:pPr>
      <w:r>
        <w:t xml:space="preserve">What IS validated</w:t>
      </w:r>
    </w:p>
    <w:p>
      <w:pPr>
        <w:pStyle w:val="ListParagraph"/>
        <w:numPr>
          <w:ilvl w:val="0"/>
          <w:numId w:val="3"/>
        </w:numPr>
        <w:spacing w:after="60"/>
      </w:pPr>
      <w:r>
        <w:rPr>
          <w:sz w:val="20"/>
          <w:szCs w:val="20"/>
        </w:rPr>
        <w:t xml:space="preserve">Every state-changing request needs a valid CSRF token, compared in constant time. 403 otherwise.</w:t>
      </w:r>
    </w:p>
    <w:p>
      <w:pPr>
        <w:pStyle w:val="ListParagraph"/>
        <w:numPr>
          <w:ilvl w:val="0"/>
          <w:numId w:val="3"/>
        </w:numPr>
        <w:spacing w:after="60"/>
      </w:pPr>
      <w:r>
        <w:rPr>
          <w:sz w:val="20"/>
          <w:szCs w:val="20"/>
        </w:rPr>
        <w:t xml:space="preserve">Role permissions on every route, server-side.</w:t>
      </w:r>
    </w:p>
    <w:p>
      <w:pPr>
        <w:pStyle w:val="ListParagraph"/>
        <w:numPr>
          <w:ilvl w:val="0"/>
          <w:numId w:val="3"/>
        </w:numPr>
        <w:spacing w:after="60"/>
      </w:pPr>
      <w:r>
        <w:rPr>
          <w:sz w:val="20"/>
          <w:szCs w:val="20"/>
        </w:rPr>
        <w:t xml:space="preserve">Model ownership: every id is re-checked against the user's company at the point of use.</w:t>
      </w:r>
    </w:p>
    <w:p>
      <w:pPr>
        <w:pStyle w:val="ListParagraph"/>
        <w:numPr>
          <w:ilvl w:val="0"/>
          <w:numId w:val="3"/>
        </w:numPr>
        <w:spacing w:after="60"/>
      </w:pPr>
      <w:r>
        <w:rPr>
          <w:sz w:val="20"/>
          <w:szCs w:val="20"/>
        </w:rPr>
        <w:t xml:space="preserve">The model lock: every write is refused with 423 while a model is closed.</w:t>
      </w:r>
    </w:p>
    <w:p>
      <w:pPr>
        <w:pStyle w:val="ListParagraph"/>
        <w:numPr>
          <w:ilvl w:val="0"/>
          <w:numId w:val="3"/>
        </w:numPr>
        <w:spacing w:after="60"/>
      </w:pPr>
      <w:r>
        <w:rPr>
          <w:sz w:val="20"/>
          <w:szCs w:val="20"/>
        </w:rPr>
        <w:t xml:space="preserve">Sign-in rate limiting: 8 attempts per 15 minutes per IP.</w:t>
      </w:r>
    </w:p>
    <w:p>
      <w:pPr>
        <w:pStyle w:val="ListParagraph"/>
        <w:numPr>
          <w:ilvl w:val="0"/>
          <w:numId w:val="3"/>
        </w:numPr>
        <w:spacing w:after="60"/>
      </w:pPr>
      <w:r>
        <w:rPr>
          <w:sz w:val="20"/>
          <w:szCs w:val="20"/>
        </w:rPr>
        <w:t xml:space="preserve">Passwords: at least 12 characters, no leading or trailing space.</w:t>
      </w:r>
    </w:p>
    <w:p>
      <w:pPr>
        <w:pStyle w:val="ListParagraph"/>
        <w:numPr>
          <w:ilvl w:val="0"/>
          <w:numId w:val="3"/>
        </w:numPr>
        <w:spacing w:after="60"/>
      </w:pPr>
      <w:r>
        <w:rPr>
          <w:sz w:val="20"/>
          <w:szCs w:val="20"/>
        </w:rPr>
        <w:t xml:space="preserve">Company name uniqueness, and email uniqueness within a company (at the database level).</w:t>
      </w:r>
    </w:p>
    <w:p>
      <w:pPr>
        <w:pStyle w:val="ListParagraph"/>
        <w:numPr>
          <w:ilvl w:val="0"/>
          <w:numId w:val="3"/>
        </w:numPr>
        <w:spacing w:after="60"/>
      </w:pPr>
      <w:r>
        <w:rPr>
          <w:sz w:val="20"/>
          <w:szCs w:val="20"/>
        </w:rPr>
        <w:t xml:space="preserve">Custom rows: the anchor must be one of a fixed server-side list; the name must be present and at most 120 characters.</w:t>
      </w:r>
    </w:p>
    <w:p>
      <w:pPr>
        <w:pStyle w:val="ListParagraph"/>
        <w:numPr>
          <w:ilvl w:val="0"/>
          <w:numId w:val="3"/>
        </w:numPr>
        <w:spacing w:after="60"/>
      </w:pPr>
      <w:r>
        <w:rPr>
          <w:sz w:val="20"/>
          <w:szCs w:val="20"/>
        </w:rPr>
        <w:t xml:space="preserve">Imports: unknown units, unknown scenarios, unknown lines, non-numeric cells and out-of-horizon years are all rejected individually with a stated reason, never silently dropped.</w:t>
      </w:r>
    </w:p>
    <w:p>
      <w:pPr>
        <w:pStyle w:val="ListParagraph"/>
        <w:numPr>
          <w:ilvl w:val="0"/>
          <w:numId w:val="3"/>
        </w:numPr>
        <w:spacing w:after="60"/>
      </w:pPr>
      <w:r>
        <w:rPr>
          <w:sz w:val="20"/>
          <w:szCs w:val="20"/>
        </w:rPr>
        <w:t xml:space="preserve">Logo uploads: must be a recognised image data URI, at most 512 KB decoded.</w:t>
      </w:r>
    </w:p>
    <w:p>
      <w:pPr>
        <w:pStyle w:val="ListParagraph"/>
        <w:numPr>
          <w:ilvl w:val="0"/>
          <w:numId w:val="3"/>
        </w:numPr>
        <w:spacing w:after="60"/>
      </w:pPr>
      <w:r>
        <w:rPr>
          <w:sz w:val="20"/>
          <w:szCs w:val="20"/>
        </w:rPr>
        <w:t xml:space="preserve">Row counts are clamped server-side (units 1–60, levies 0–10, facilities 0–24, provisions 0–20, initiatives 0–20, assets 0–60).</w:t>
      </w:r>
    </w:p>
    <w:p>
      <w:pPr>
        <w:pStyle w:val="ListParagraph"/>
        <w:numPr>
          <w:ilvl w:val="0"/>
          <w:numId w:val="3"/>
        </w:numPr>
        <w:spacing w:after="60"/>
      </w:pPr>
      <w:r>
        <w:rPr>
          <w:sz w:val="20"/>
          <w:szCs w:val="20"/>
        </w:rPr>
        <w:t xml:space="preserve">Horizon values are clamped (historical 1–10, forecast 1–15).</w:t>
      </w:r>
    </w:p>
    <w:p>
      <w:pPr>
        <w:pStyle w:val="ListParagraph"/>
        <w:numPr>
          <w:ilvl w:val="0"/>
          <w:numId w:val="3"/>
        </w:numPr>
        <w:spacing w:after="60"/>
      </w:pPr>
      <w:r>
        <w:rPr>
          <w:sz w:val="20"/>
          <w:szCs w:val="20"/>
        </w:rPr>
        <w:t xml:space="preserve">Model deletion requires the exact name and is refused for the last model.</w:t>
      </w:r>
    </w:p>
    <w:p>
      <w:pPr>
        <w:pStyle w:val="ListParagraph"/>
        <w:numPr>
          <w:ilvl w:val="0"/>
          <w:numId w:val="3"/>
        </w:numPr>
        <w:spacing w:after="60"/>
      </w:pPr>
      <w:r>
        <w:rPr>
          <w:sz w:val="20"/>
          <w:szCs w:val="20"/>
        </w:rPr>
        <w:t xml:space="preserve">Administrator and platform-administrator guard rails on the user screen.</w:t>
      </w:r>
    </w:p>
    <w:p>
      <w:pPr>
        <w:spacing w:after="80"/>
      </w:pPr>
    </w:p>
    <w:p>
      <w:pPr>
        <w:pStyle w:val="Heading3"/>
        <w:spacing w:after="100" w:before="220"/>
      </w:pPr>
      <w:r>
        <w:t xml:space="preserve">What is NOT validated</w:t>
      </w:r>
    </w:p>
    <w:tbl>
      <w:tblPr>
        <w:tblW w:type="dxa" w:w="9360"/>
        <w:tblBorders>
          <w:top w:val="single" w:color="D5DEE8" w:sz="2"/>
          <w:left w:val="single" w:color="D48806" w:sz="12"/>
          <w:bottom w:val="single" w:color="D5DEE8" w:sz="2"/>
          <w:right w:val="single" w:color="D5DEE8" w:sz="2"/>
          <w:insideH w:val="none"/>
          <w:insideV w:val="none"/>
        </w:tblBorders>
      </w:tblPr>
      <w:tblGrid>
        <w:gridCol w:w="9360"/>
      </w:tblGrid>
      <w:tr>
        <w:tc>
          <w:tcPr>
            <w:tcW w:type="dxa" w:w="9360"/>
            <w:shd w:fill="FFF4E0" w:val="clear"/>
            <w:tcMar>
              <w:top w:type="dxa" w:w="120"/>
              <w:left w:type="dxa" w:w="180"/>
              <w:bottom w:type="dxa" w:w="120"/>
              <w:right w:type="dxa" w:w="180"/>
            </w:tcMar>
          </w:tcPr>
          <w:p>
            <w:pPr>
              <w:spacing w:after="60"/>
            </w:pPr>
            <w:r>
              <w:rPr>
                <w:b/>
                <w:bCs/>
                <w:color w:val="1F3864"/>
                <w:sz w:val="20"/>
                <w:szCs w:val="20"/>
              </w:rPr>
              <w:t xml:space="preserve">This is the most important list in the document for negative testing</w:t>
            </w:r>
          </w:p>
          <w:p>
            <w:pPr>
              <w:spacing w:after="60"/>
            </w:pPr>
            <w:r>
              <w:rPr>
                <w:sz w:val="19"/>
                <w:szCs w:val="19"/>
              </w:rPr>
              <w:t xml:space="preserve">No numeric field on any Inputs step has a minimum or a maximum. Negative revenue, a 5,000% growth rate, a −50% cost ratio and 99,999 receivable days are all accepted and calculated.</w:t>
            </w:r>
          </w:p>
          <w:p>
            <w:pPr>
              <w:spacing w:after="60"/>
            </w:pPr>
            <w:r>
              <w:rPr>
                <w:sz w:val="19"/>
                <w:szCs w:val="19"/>
              </w:rPr>
              <w:t xml:space="preserve">Anything unparseable becomes 0 SILENTLY. Typing "abc" into a revenue cell stores zero and reports "Saved." — there is no error and no warning.</w:t>
            </w:r>
          </w:p>
          <w:p>
            <w:pPr>
              <w:spacing w:after="60"/>
            </w:pPr>
            <w:r>
              <w:rPr>
                <w:sz w:val="19"/>
                <w:szCs w:val="19"/>
              </w:rPr>
              <w:t xml:space="preserve">Percentages are not clamped to 0–100. A delivery probability of 150% gives a 1.5× multiplier; a negative one reverses the sign of the whole initiative.</w:t>
            </w:r>
          </w:p>
          <w:p>
            <w:pPr>
              <w:spacing w:after="60"/>
            </w:pPr>
            <w:r>
              <w:rPr>
                <w:sz w:val="19"/>
                <w:szCs w:val="19"/>
              </w:rPr>
              <w:t xml:space="preserve">Dividend payout and statutory reserve are not checked to total 100% or less.</w:t>
            </w:r>
          </w:p>
          <w:p>
            <w:pPr>
              <w:spacing w:after="60"/>
            </w:pPr>
            <w:r>
              <w:rPr>
                <w:sz w:val="19"/>
                <w:szCs w:val="19"/>
              </w:rPr>
              <w:t xml:space="preserve">Drawdowns are never checked against a facility limit — the limit is stored and ignored.</w:t>
            </w:r>
          </w:p>
          <w:p>
            <w:pPr>
              <w:spacing w:after="60"/>
            </w:pPr>
            <w:r>
              <w:rPr>
                <w:sz w:val="19"/>
                <w:szCs w:val="19"/>
              </w:rPr>
              <w:t xml:space="preserve">The first forecast year has no server-side range check; only the browser enforces 1990–2200.</w:t>
            </w:r>
          </w:p>
          <w:p>
            <w:pPr>
              <w:spacing w:after="60"/>
            </w:pPr>
            <w:r>
              <w:rPr>
                <w:sz w:val="19"/>
                <w:szCs w:val="19"/>
              </w:rPr>
              <w:t xml:space="preserve">Text lengths are truncated silently rather than rejected — a 300-character note becomes 240 with no message.</w:t>
            </w:r>
          </w:p>
          <w:p>
            <w:pPr>
              <w:spacing w:after="60"/>
            </w:pPr>
            <w:r>
              <w:rPr>
                <w:sz w:val="19"/>
                <w:szCs w:val="19"/>
              </w:rPr>
              <w:t xml:space="preserve">A duplicate business-unit name produces a raw 500 error page, not a friendly message.</w:t>
            </w:r>
          </w:p>
          <w:p>
            <w:pPr>
              <w:spacing w:after="0"/>
            </w:pPr>
            <w:r>
              <w:rPr>
                <w:sz w:val="19"/>
                <w:szCs w:val="19"/>
              </w:rPr>
              <w:t xml:space="preserve">There is no "unsaved changes" warning anywhere.</w:t>
            </w:r>
          </w:p>
        </w:tc>
      </w:tr>
    </w:tbl>
    <w:p>
      <w:pPr>
        <w:spacing w:after="80"/>
      </w:pPr>
    </w:p>
    <w:p>
      <w:pPr>
        <w:pStyle w:val="Heading3"/>
        <w:spacing w:after="100" w:before="220"/>
      </w:pPr>
      <w:r>
        <w:t xml:space="preserve">How errors are surfaced</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700"/>
        <w:gridCol w:w="2700"/>
        <w:gridCol w:w="4960"/>
      </w:tblGrid>
      <w:tr>
        <w:trPr>
          <w:tblHeader/>
        </w:trPr>
        <w:tc>
          <w:tcPr>
            <w:tcW w:type="dxa" w:w="1700"/>
            <w:shd w:fill="1F3864" w:val="clear"/>
            <w:tcMar>
              <w:top w:type="dxa" w:w="70"/>
              <w:left w:type="dxa" w:w="110"/>
              <w:bottom w:type="dxa" w:w="70"/>
              <w:right w:type="dxa" w:w="110"/>
            </w:tcMar>
          </w:tcPr>
          <w:p>
            <w:pPr>
              <w:spacing w:after="0"/>
            </w:pPr>
            <w:r>
              <w:rPr>
                <w:b/>
                <w:bCs/>
                <w:i w:val="false"/>
                <w:iCs w:val="false"/>
                <w:color w:val="FFFFFF"/>
                <w:sz w:val="18"/>
                <w:szCs w:val="18"/>
              </w:rPr>
              <w:t xml:space="preserve">Mechanism</w:t>
            </w:r>
          </w:p>
        </w:tc>
        <w:tc>
          <w:tcPr>
            <w:tcW w:type="dxa" w:w="2700"/>
            <w:shd w:fill="1F3864" w:val="clear"/>
            <w:tcMar>
              <w:top w:type="dxa" w:w="70"/>
              <w:left w:type="dxa" w:w="110"/>
              <w:bottom w:type="dxa" w:w="70"/>
              <w:right w:type="dxa" w:w="110"/>
            </w:tcMar>
          </w:tcPr>
          <w:p>
            <w:pPr>
              <w:spacing w:after="0"/>
            </w:pPr>
            <w:r>
              <w:rPr>
                <w:b/>
                <w:bCs/>
                <w:i w:val="false"/>
                <w:iCs w:val="false"/>
                <w:color w:val="FFFFFF"/>
                <w:sz w:val="18"/>
                <w:szCs w:val="18"/>
              </w:rPr>
              <w:t xml:space="preserve">Used for</w:t>
            </w:r>
          </w:p>
        </w:tc>
        <w:tc>
          <w:tcPr>
            <w:tcW w:type="dxa" w:w="4960"/>
            <w:shd w:fill="1F3864" w:val="clear"/>
            <w:tcMar>
              <w:top w:type="dxa" w:w="70"/>
              <w:left w:type="dxa" w:w="110"/>
              <w:bottom w:type="dxa" w:w="70"/>
              <w:right w:type="dxa" w:w="110"/>
            </w:tcMar>
          </w:tcPr>
          <w:p>
            <w:pPr>
              <w:spacing w:after="0"/>
            </w:pPr>
            <w:r>
              <w:rPr>
                <w:b/>
                <w:bCs/>
                <w:i w:val="false"/>
                <w:iCs w:val="false"/>
                <w:color w:val="FFFFFF"/>
                <w:sz w:val="18"/>
                <w:szCs w:val="18"/>
              </w:rPr>
              <w:t xml:space="preserve">Appearance</w:t>
            </w:r>
          </w:p>
        </w:tc>
      </w:tr>
      <w:tr>
        <w:tc>
          <w:tcPr>
            <w:tcW w:type="dxa" w:w="1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Flash message</w:t>
            </w:r>
          </w:p>
        </w:tc>
        <w:tc>
          <w:tcPr>
            <w:tcW w:type="dxa" w:w="2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result of a POST.</w:t>
            </w:r>
          </w:p>
        </w:tc>
        <w:tc>
          <w:tcPr>
            <w:tcW w:type="dxa" w:w="4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toast at the top of the next page. Green for success, red for failure. Cleared once shown.</w:t>
            </w:r>
          </w:p>
        </w:tc>
      </w:tr>
      <w:tr>
        <w:tc>
          <w:tcPr>
            <w:tcW w:type="dxa" w:w="1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Banner</w:t>
            </w:r>
          </w:p>
        </w:tc>
        <w:tc>
          <w:tcPr>
            <w:tcW w:type="dxa" w:w="2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 persistent condition of the model.</w:t>
            </w:r>
          </w:p>
        </w:tc>
        <w:tc>
          <w:tcPr>
            <w:tcW w:type="dxa" w:w="49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Red (does not tie out), yellow (missing actuals), blue (segment view / informational). Recomputed on every page load.</w:t>
            </w:r>
          </w:p>
        </w:tc>
      </w:tr>
      <w:tr>
        <w:tc>
          <w:tcPr>
            <w:tcW w:type="dxa" w:w="1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Full error page</w:t>
            </w:r>
          </w:p>
        </w:tc>
        <w:tc>
          <w:tcPr>
            <w:tcW w:type="dxa" w:w="2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refused or failed request.</w:t>
            </w:r>
          </w:p>
        </w:tc>
        <w:tc>
          <w:tcPr>
            <w:tcW w:type="dxa" w:w="49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titled page with a heading, an explanation and a "back" link. Used for 403, 404, 423 and 500.</w:t>
            </w:r>
          </w:p>
        </w:tc>
      </w:tr>
      <w:tr>
        <w:tc>
          <w:tcPr>
            <w:tcW w:type="dxa" w:w="1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Inline validation</w:t>
            </w:r>
          </w:p>
        </w:tc>
        <w:tc>
          <w:tcPr>
            <w:tcW w:type="dxa" w:w="2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Almost nowhere.</w:t>
            </w:r>
          </w:p>
        </w:tc>
        <w:tc>
          <w:tcPr>
            <w:tcW w:type="dxa" w:w="49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Only the browser's own HTML validation (required, type, min, max, maxlength). There is no server-driven per-field error display anywhere in the product.</w:t>
            </w:r>
          </w:p>
        </w:tc>
      </w:tr>
    </w:tbl>
    <w:p>
      <w:pPr>
        <w:spacing w:after="120"/>
      </w:pPr>
    </w:p>
    <w:p>
      <w:pPr>
        <w:pStyle w:val="Heading2"/>
        <w:spacing w:after="120" w:before="280"/>
      </w:pPr>
      <w:r>
        <w:t xml:space="preserve">5.7  Security behaviour worth testing</w:t>
      </w:r>
    </w:p>
    <w:p>
      <w:pPr>
        <w:pStyle w:val="ListParagraph"/>
        <w:numPr>
          <w:ilvl w:val="0"/>
          <w:numId w:val="3"/>
        </w:numPr>
        <w:spacing w:after="60"/>
      </w:pPr>
      <w:r>
        <w:rPr>
          <w:sz w:val="20"/>
          <w:szCs w:val="20"/>
        </w:rPr>
        <w:t xml:space="preserve">Security headers on every response: X-Content-Type-Options: nosniff, X-Frame-Options: SAMEORIGIN, Referrer-Policy: same-origin.</w:t>
      </w:r>
    </w:p>
    <w:p>
      <w:pPr>
        <w:pStyle w:val="ListParagraph"/>
        <w:numPr>
          <w:ilvl w:val="0"/>
          <w:numId w:val="3"/>
        </w:numPr>
        <w:spacing w:after="60"/>
      </w:pPr>
      <w:r>
        <w:rPr>
          <w:sz w:val="20"/>
          <w:szCs w:val="20"/>
        </w:rPr>
        <w:t xml:space="preserve">One generic sign-in failure message for a wrong company, a wrong email and a wrong password alike — the form cannot be used to discover which companies or accounts exist.</w:t>
      </w:r>
    </w:p>
    <w:p>
      <w:pPr>
        <w:pStyle w:val="ListParagraph"/>
        <w:numPr>
          <w:ilvl w:val="0"/>
          <w:numId w:val="3"/>
        </w:numPr>
        <w:spacing w:after="60"/>
      </w:pPr>
      <w:r>
        <w:rPr>
          <w:sz w:val="20"/>
          <w:szCs w:val="20"/>
        </w:rPr>
        <w:t xml:space="preserve">Passwords are stored as bcrypt hashes at cost 12. There is no way to read an existing password.</w:t>
      </w:r>
    </w:p>
    <w:p>
      <w:pPr>
        <w:pStyle w:val="ListParagraph"/>
        <w:numPr>
          <w:ilvl w:val="0"/>
          <w:numId w:val="3"/>
        </w:numPr>
        <w:spacing w:after="60"/>
      </w:pPr>
      <w:r>
        <w:rPr>
          <w:sz w:val="20"/>
          <w:szCs w:val="20"/>
        </w:rPr>
        <w:t xml:space="preserve">A generated password suggestion uses a cryptographic random source, not Math.random.</w:t>
      </w:r>
    </w:p>
    <w:p>
      <w:pPr>
        <w:pStyle w:val="ListParagraph"/>
        <w:numPr>
          <w:ilvl w:val="0"/>
          <w:numId w:val="3"/>
        </w:numPr>
        <w:spacing w:after="60"/>
      </w:pPr>
      <w:r>
        <w:rPr>
          <w:sz w:val="20"/>
          <w:szCs w:val="20"/>
        </w:rPr>
        <w:t xml:space="preserve">The redirect target after a currency change is restricted to same-site paths, so a posted "next" cannot bounce the user off-site.</w:t>
      </w:r>
    </w:p>
    <w:p>
      <w:pPr>
        <w:pStyle w:val="ListParagraph"/>
        <w:numPr>
          <w:ilvl w:val="0"/>
          <w:numId w:val="3"/>
        </w:numPr>
        <w:spacing w:after="60"/>
      </w:pPr>
      <w:r>
        <w:rPr>
          <w:sz w:val="20"/>
          <w:szCs w:val="20"/>
        </w:rPr>
        <w:t xml:space="preserve">ERP credentials are never stored in the database — only the name of the environment variable that carries them.</w:t>
      </w:r>
    </w:p>
    <w:p>
      <w:pPr>
        <w:pStyle w:val="ListParagraph"/>
        <w:numPr>
          <w:ilvl w:val="0"/>
          <w:numId w:val="3"/>
        </w:numPr>
        <w:spacing w:after="60"/>
      </w:pPr>
      <w:r>
        <w:rPr>
          <w:sz w:val="20"/>
          <w:szCs w:val="20"/>
        </w:rPr>
        <w:t xml:space="preserve">The AI commentary feature, when configured, is sent FIGURES only — the table being read and nothing else. No customer names, no user details, no other model. It is off by default (no key configured) and falls back to the deterministic writer on any failure.</w:t>
      </w:r>
    </w:p>
    <w:p>
      <w:pPr>
        <w:spacing w:after="120"/>
      </w:pPr>
    </w:p>
    <w:p>
      <w:pPr>
        <w:pStyle w:val="Heading2"/>
        <w:spacing w:after="120" w:before="280"/>
      </w:pPr>
      <w:r>
        <w:t xml:space="preserve">5.8  Internationalisation</w:t>
      </w:r>
    </w:p>
    <w:p>
      <w:pPr>
        <w:pStyle w:val="ListParagraph"/>
        <w:numPr>
          <w:ilvl w:val="0"/>
          <w:numId w:val="3"/>
        </w:numPr>
        <w:spacing w:after="60"/>
      </w:pPr>
      <w:r>
        <w:rPr>
          <w:sz w:val="20"/>
          <w:szCs w:val="20"/>
        </w:rPr>
        <w:t xml:space="preserve">Two languages: English and Arabic. The Arabic build sets the document direction to right-to-left from the first byte, rather than switching it by script after paint.</w:t>
      </w:r>
    </w:p>
    <w:p>
      <w:pPr>
        <w:pStyle w:val="ListParagraph"/>
        <w:numPr>
          <w:ilvl w:val="0"/>
          <w:numId w:val="3"/>
        </w:numPr>
        <w:spacing w:after="60"/>
      </w:pPr>
      <w:r>
        <w:rPr>
          <w:sz w:val="20"/>
          <w:szCs w:val="20"/>
        </w:rPr>
        <w:t xml:space="preserve">The dictionary is keyed on the English string itself, so an untranslated string still renders — in English — rather than showing a missing-key placeholder.</w:t>
      </w:r>
    </w:p>
    <w:p>
      <w:pPr>
        <w:pStyle w:val="ListParagraph"/>
        <w:numPr>
          <w:ilvl w:val="0"/>
          <w:numId w:val="3"/>
        </w:numPr>
        <w:spacing w:after="60"/>
      </w:pPr>
      <w:r>
        <w:rPr>
          <w:sz w:val="20"/>
          <w:szCs w:val="20"/>
        </w:rPr>
        <w:t xml:space="preserve">Numerals stay Western (1, not ١) deliberately: Saudi financial reporting is written that way.</w:t>
      </w:r>
    </w:p>
    <w:p>
      <w:pPr>
        <w:pStyle w:val="ListParagraph"/>
        <w:numPr>
          <w:ilvl w:val="0"/>
          <w:numId w:val="3"/>
        </w:numPr>
        <w:spacing w:after="60"/>
      </w:pPr>
      <w:r>
        <w:rPr>
          <w:sz w:val="20"/>
          <w:szCs w:val="20"/>
        </w:rPr>
        <w:t xml:space="preserve">Year markers are translated in place: "2023 (A)" becomes "2023 (ف)" and "2026 (F)" becomes "2026 (ت)".</w:t>
      </w:r>
    </w:p>
    <w:p>
      <w:pPr>
        <w:pStyle w:val="ListParagraph"/>
        <w:numPr>
          <w:ilvl w:val="0"/>
          <w:numId w:val="3"/>
        </w:numPr>
        <w:spacing w:after="60"/>
      </w:pPr>
      <w:r>
        <w:rPr>
          <w:sz w:val="20"/>
          <w:szCs w:val="20"/>
        </w:rPr>
        <w:t xml:space="preserve">The project ships audit scripts that check the translation coverage. At the time of writing: 985 strings all have Arabic entries, no untranslated prose in any template, and ONE untranslated phrase remains — "Business unit" on the /data screen.</w:t>
      </w:r>
    </w:p>
    <w:p>
      <w:pPr>
        <w:spacing w:after="80"/>
      </w:pPr>
    </w:p>
    <w:tbl>
      <w:tblPr>
        <w:tblW w:type="dxa" w:w="9360"/>
        <w:tblBorders>
          <w:top w:val="single" w:color="D5DEE8" w:sz="2"/>
          <w:left w:val="single" w:color="D48806" w:sz="12"/>
          <w:bottom w:val="single" w:color="D5DEE8" w:sz="2"/>
          <w:right w:val="single" w:color="D5DEE8" w:sz="2"/>
          <w:insideH w:val="none"/>
          <w:insideV w:val="none"/>
        </w:tblBorders>
      </w:tblPr>
      <w:tblGrid>
        <w:gridCol w:w="9360"/>
      </w:tblGrid>
      <w:tr>
        <w:tc>
          <w:tcPr>
            <w:tcW w:type="dxa" w:w="9360"/>
            <w:shd w:fill="FFF4E0" w:val="clear"/>
            <w:tcMar>
              <w:top w:type="dxa" w:w="120"/>
              <w:left w:type="dxa" w:w="180"/>
              <w:bottom w:type="dxa" w:w="120"/>
              <w:right w:type="dxa" w:w="180"/>
            </w:tcMar>
          </w:tcPr>
          <w:p>
            <w:pPr>
              <w:spacing w:after="60"/>
            </w:pPr>
            <w:r>
              <w:rPr>
                <w:b/>
                <w:bCs/>
                <w:color w:val="1F3864"/>
                <w:sz w:val="20"/>
                <w:szCs w:val="20"/>
              </w:rPr>
              <w:t xml:space="preserve">Test the Arabic build on the forms, not just the reports</w:t>
            </w:r>
          </w:p>
          <w:p>
            <w:pPr>
              <w:spacing w:after="60"/>
            </w:pPr>
            <w:r>
              <w:rPr>
                <w:sz w:val="19"/>
                <w:szCs w:val="19"/>
              </w:rPr>
              <w:t xml:space="preserve">Several input forms build their FIELD NAMES by passing the internal key through the translator (for example the initiative P&amp;L rows and the opening balance sheet rows). Those keys have no dictionary entry today, so the names survive and saving works in Arabic.</w:t>
            </w:r>
          </w:p>
          <w:p>
            <w:pPr>
              <w:spacing w:after="0"/>
            </w:pPr>
            <w:r>
              <w:rPr>
                <w:sz w:val="19"/>
                <w:szCs w:val="19"/>
              </w:rPr>
              <w:t xml:space="preserve">It is nonetheless fragile: adding a dictionary entry for a word like "revenue", "cash" or "inventory" would silently rename the form field and break that save in Arabic only. Worth a regression test on every input step in Arabic after any dictionary change.</w:t>
            </w:r>
          </w:p>
        </w:tc>
      </w:tr>
    </w:tbl>
    <w:p>
      <w:r>
        <w:br w:type="page"/>
      </w:r>
    </w:p>
    <w:p>
      <w:pPr>
        <w:pStyle w:val="Heading1"/>
        <w:spacing w:after="160" w:before="360"/>
      </w:pPr>
      <w:r>
        <w:t xml:space="preserve">6. QA Testing Guide</w:t>
      </w:r>
    </w:p>
    <w:p>
      <w:pPr>
        <w:pStyle w:val="Heading2"/>
        <w:spacing w:after="120" w:before="280"/>
      </w:pPr>
      <w:r>
        <w:t xml:space="preserve">6.1  Environment and access</w:t>
      </w:r>
    </w:p>
    <w:p>
      <w:pPr>
        <w:shd w:fill="F7F9FC" w:val="clear"/>
        <w:spacing w:after="120" w:before="40"/>
        <w:ind w:left="260"/>
      </w:pPr>
      <w:r>
        <w:rPr>
          <w:rFonts w:ascii="Consolas" w:cs="Consolas" w:eastAsia="Consolas" w:hAnsi="Consolas"/>
          <w:sz w:val="18"/>
          <w:szCs w:val="18"/>
        </w:rPr>
        <w:t xml:space="preserve">npm install          install dependencies</w:t>
      </w:r>
    </w:p>
    <w:p>
      <w:pPr>
        <w:shd w:fill="F7F9FC" w:val="clear"/>
        <w:spacing w:after="120" w:before="40"/>
        <w:ind w:left="260"/>
      </w:pPr>
      <w:r>
        <w:rPr>
          <w:rFonts w:ascii="Consolas" w:cs="Consolas" w:eastAsia="Consolas" w:hAnsi="Consolas"/>
          <w:sz w:val="18"/>
          <w:szCs w:val="18"/>
        </w:rPr>
        <w:t xml:space="preserve">npm run db:install   create the database, apply the schema, seed the demo company</w:t>
      </w:r>
    </w:p>
    <w:p>
      <w:pPr>
        <w:shd w:fill="F7F9FC" w:val="clear"/>
        <w:spacing w:after="120" w:before="40"/>
        <w:ind w:left="260"/>
      </w:pPr>
      <w:r>
        <w:rPr>
          <w:rFonts w:ascii="Consolas" w:cs="Consolas" w:eastAsia="Consolas" w:hAnsi="Consolas"/>
          <w:sz w:val="18"/>
          <w:szCs w:val="18"/>
        </w:rPr>
        <w:t xml:space="preserve">npm start            serve the app</w:t>
      </w:r>
    </w:p>
    <w:p>
      <w:pPr>
        <w:shd w:fill="F7F9FC" w:val="clear"/>
        <w:spacing w:after="120" w:before="40"/>
        <w:ind w:left="260"/>
      </w:pPr>
      <w:r>
        <w:rPr>
          <w:rFonts w:ascii="Consolas" w:cs="Consolas" w:eastAsia="Consolas" w:hAnsi="Consolas"/>
          <w:sz w:val="18"/>
          <w:szCs w:val="18"/>
        </w:rPr>
        <w:t xml:space="preserve">npm test             67 engine unit tests</w:t>
      </w:r>
    </w:p>
    <w:p>
      <w:pPr>
        <w:shd w:fill="F7F9FC" w:val="clear"/>
        <w:spacing w:after="120" w:before="40"/>
        <w:ind w:left="260"/>
      </w:pPr>
      <w:r>
        <w:rPr>
          <w:rFonts w:ascii="Consolas" w:cs="Consolas" w:eastAsia="Consolas" w:hAnsi="Consolas"/>
          <w:sz w:val="18"/>
          <w:szCs w:val="18"/>
        </w:rPr>
        <w:t xml:space="preserve">npm run verify       independent recomputation against the database</w:t>
      </w:r>
    </w:p>
    <w:p>
      <w:pPr>
        <w:shd w:fill="F7F9FC" w:val="clear"/>
        <w:spacing w:after="120" w:before="40"/>
        <w:ind w:left="260"/>
      </w:pPr>
      <w:r>
        <w:rPr>
          <w:rFonts w:ascii="Consolas" w:cs="Consolas" w:eastAsia="Consolas" w:hAnsi="Consolas"/>
          <w:sz w:val="18"/>
          <w:szCs w:val="18"/>
        </w:rPr>
        <w:t xml:space="preserve">npm run audit        verify + seven audit scripts (formulas, routes, guards, i18n, templates, Arabic, SME)</w:t>
      </w:r>
    </w:p>
    <w:p>
      <w:pPr>
        <w:spacing w:after="80"/>
      </w:pPr>
    </w:p>
    <w:p>
      <w:pPr>
        <w:spacing w:after="120"/>
      </w:pPr>
      <w:r>
        <w:rPr>
          <w:b w:val="false"/>
          <w:bCs w:val="false"/>
          <w:i w:val="false"/>
          <w:iCs w:val="false"/>
          <w:sz w:val="20"/>
          <w:szCs w:val="20"/>
        </w:rPr>
        <w:t xml:space="preserve">Configuration is in .env: DB_HOST, DB_PORT, DB_USER, DB_PASSWORD, DB_NAME, SESSION_SECRET, PORT, NODE_ENV. AI commentary is optional and off unless AI_API_KEY is set. A health endpoint is available at /health and returns {"ok":true,"db":"connected"}.</w:t>
      </w:r>
    </w:p>
    <w:p>
      <w:pPr>
        <w:spacing w:after="80"/>
      </w:pPr>
    </w:p>
    <w:tbl>
      <w:tblPr>
        <w:tblW w:type="dxa" w:w="9360"/>
        <w:tblBorders>
          <w:top w:val="single" w:color="D5DEE8" w:sz="2"/>
          <w:left w:val="single" w:color="C0392B" w:sz="12"/>
          <w:bottom w:val="single" w:color="D5DEE8" w:sz="2"/>
          <w:right w:val="single" w:color="D5DEE8" w:sz="2"/>
          <w:insideH w:val="none"/>
          <w:insideV w:val="none"/>
        </w:tblBorders>
      </w:tblPr>
      <w:tblGrid>
        <w:gridCol w:w="9360"/>
      </w:tblGrid>
      <w:tr>
        <w:tc>
          <w:tcPr>
            <w:tcW w:type="dxa" w:w="9360"/>
            <w:shd w:fill="FDECEC" w:val="clear"/>
            <w:tcMar>
              <w:top w:type="dxa" w:w="120"/>
              <w:left w:type="dxa" w:w="180"/>
              <w:bottom w:type="dxa" w:w="120"/>
              <w:right w:type="dxa" w:w="180"/>
            </w:tcMar>
          </w:tcPr>
          <w:p>
            <w:pPr>
              <w:spacing w:after="60"/>
            </w:pPr>
            <w:r>
              <w:rPr>
                <w:b/>
                <w:bCs/>
                <w:color w:val="1F3864"/>
                <w:sz w:val="20"/>
                <w:szCs w:val="20"/>
              </w:rPr>
              <w:t xml:space="preserve">Check this before you start — it will save you a day</w:t>
            </w:r>
          </w:p>
          <w:p>
            <w:pPr>
              <w:spacing w:after="60"/>
            </w:pPr>
            <w:r>
              <w:rPr>
                <w:sz w:val="19"/>
                <w:szCs w:val="19"/>
              </w:rPr>
              <w:t xml:space="preserve">Run npm run db:install on your test database and then try to Close a model from the Models screen. If it errors, you have hit defect D2: the lock columns are missing from schema.sql. Confirm with the developers which database state you are testing against before writing any lock test cases.</w:t>
            </w:r>
          </w:p>
          <w:p>
            <w:pPr>
              <w:spacing w:after="0"/>
            </w:pPr>
            <w:r>
              <w:rPr>
                <w:sz w:val="19"/>
                <w:szCs w:val="19"/>
              </w:rPr>
              <w:t xml:space="preserve">Also try saving anything on /models/:id/settings. It will fail (defect D1). Do not write horizon test cases until that is fixed.</w:t>
            </w:r>
          </w:p>
        </w:tc>
      </w:tr>
    </w:tbl>
    <w:p>
      <w:pPr>
        <w:spacing w:after="80"/>
      </w:pPr>
    </w:p>
    <w:p>
      <w:pPr>
        <w:pStyle w:val="Heading3"/>
        <w:spacing w:after="100" w:before="220"/>
      </w:pPr>
      <w:r>
        <w:t xml:space="preserve">Seeded test accounts (demo company "AlRajhi Group")</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800"/>
        <w:gridCol w:w="2200"/>
        <w:gridCol w:w="1700"/>
        <w:gridCol w:w="3660"/>
      </w:tblGrid>
      <w:tr>
        <w:trPr>
          <w:tblHeader/>
        </w:trPr>
        <w:tc>
          <w:tcPr>
            <w:tcW w:type="dxa" w:w="1800"/>
            <w:shd w:fill="1F3864" w:val="clear"/>
            <w:tcMar>
              <w:top w:type="dxa" w:w="70"/>
              <w:left w:type="dxa" w:w="110"/>
              <w:bottom w:type="dxa" w:w="70"/>
              <w:right w:type="dxa" w:w="110"/>
            </w:tcMar>
          </w:tcPr>
          <w:p>
            <w:pPr>
              <w:spacing w:after="0"/>
            </w:pPr>
            <w:r>
              <w:rPr>
                <w:b/>
                <w:bCs/>
                <w:i w:val="false"/>
                <w:iCs w:val="false"/>
                <w:color w:val="FFFFFF"/>
                <w:sz w:val="18"/>
                <w:szCs w:val="18"/>
              </w:rPr>
              <w:t xml:space="preserve">Role</w:t>
            </w:r>
          </w:p>
        </w:tc>
        <w:tc>
          <w:tcPr>
            <w:tcW w:type="dxa" w:w="2200"/>
            <w:shd w:fill="1F3864" w:val="clear"/>
            <w:tcMar>
              <w:top w:type="dxa" w:w="70"/>
              <w:left w:type="dxa" w:w="110"/>
              <w:bottom w:type="dxa" w:w="70"/>
              <w:right w:type="dxa" w:w="110"/>
            </w:tcMar>
          </w:tcPr>
          <w:p>
            <w:pPr>
              <w:spacing w:after="0"/>
            </w:pPr>
            <w:r>
              <w:rPr>
                <w:b/>
                <w:bCs/>
                <w:i w:val="false"/>
                <w:iCs w:val="false"/>
                <w:color w:val="FFFFFF"/>
                <w:sz w:val="18"/>
                <w:szCs w:val="18"/>
              </w:rPr>
              <w:t xml:space="preserve">Email</w:t>
            </w:r>
          </w:p>
        </w:tc>
        <w:tc>
          <w:tcPr>
            <w:tcW w:type="dxa" w:w="1700"/>
            <w:shd w:fill="1F3864" w:val="clear"/>
            <w:tcMar>
              <w:top w:type="dxa" w:w="70"/>
              <w:left w:type="dxa" w:w="110"/>
              <w:bottom w:type="dxa" w:w="70"/>
              <w:right w:type="dxa" w:w="110"/>
            </w:tcMar>
          </w:tcPr>
          <w:p>
            <w:pPr>
              <w:spacing w:after="0"/>
            </w:pPr>
            <w:r>
              <w:rPr>
                <w:b/>
                <w:bCs/>
                <w:i w:val="false"/>
                <w:iCs w:val="false"/>
                <w:color w:val="FFFFFF"/>
                <w:sz w:val="18"/>
                <w:szCs w:val="18"/>
              </w:rPr>
              <w:t xml:space="preserve">Password</w:t>
            </w:r>
          </w:p>
        </w:tc>
        <w:tc>
          <w:tcPr>
            <w:tcW w:type="dxa" w:w="3660"/>
            <w:shd w:fill="1F3864" w:val="clear"/>
            <w:tcMar>
              <w:top w:type="dxa" w:w="70"/>
              <w:left w:type="dxa" w:w="110"/>
              <w:bottom w:type="dxa" w:w="70"/>
              <w:right w:type="dxa" w:w="110"/>
            </w:tcMar>
          </w:tcPr>
          <w:p>
            <w:pPr>
              <w:spacing w:after="0"/>
            </w:pPr>
            <w:r>
              <w:rPr>
                <w:b/>
                <w:bCs/>
                <w:i w:val="false"/>
                <w:iCs w:val="false"/>
                <w:color w:val="FFFFFF"/>
                <w:sz w:val="18"/>
                <w:szCs w:val="18"/>
              </w:rPr>
              <w:t xml:space="preserve">Use it to test</w:t>
            </w:r>
          </w:p>
        </w:tc>
      </w:tr>
      <w:tr>
        <w:tc>
          <w:tcPr>
            <w:tcW w:type="dxa" w:w="18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Administrator</w:t>
            </w:r>
          </w:p>
        </w:tc>
        <w:tc>
          <w:tcPr>
            <w:tcW w:type="dxa" w:w="2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admin@alrajhi.sa</w:t>
            </w:r>
          </w:p>
        </w:tc>
        <w:tc>
          <w:tcPr>
            <w:tcW w:type="dxa" w:w="1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Admin@12345</w:t>
            </w:r>
          </w:p>
        </w:tc>
        <w:tc>
          <w:tcPr>
            <w:tcW w:type="dxa" w:w="36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Full editing, plus closing and reopening a model.</w:t>
            </w:r>
          </w:p>
        </w:tc>
      </w:tr>
      <w:tr>
        <w:tc>
          <w:tcPr>
            <w:tcW w:type="dxa" w:w="18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Model manager</w:t>
            </w:r>
          </w:p>
        </w:tc>
        <w:tc>
          <w:tcPr>
            <w:tcW w:type="dxa" w:w="2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manager@alrajhi.sa</w:t>
            </w:r>
          </w:p>
        </w:tc>
        <w:tc>
          <w:tcPr>
            <w:tcW w:type="dxa" w:w="1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Manager@12345</w:t>
            </w:r>
          </w:p>
        </w:tc>
        <w:tc>
          <w:tcPr>
            <w:tcW w:type="dxa" w:w="36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Full editing WITHOUT the right to close a model.</w:t>
            </w:r>
          </w:p>
        </w:tc>
      </w:tr>
      <w:tr>
        <w:tc>
          <w:tcPr>
            <w:tcW w:type="dxa" w:w="18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Analyst (read-only)</w:t>
            </w:r>
          </w:p>
        </w:tc>
        <w:tc>
          <w:tcPr>
            <w:tcW w:type="dxa" w:w="2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analyst@alrajhi.sa</w:t>
            </w:r>
          </w:p>
        </w:tc>
        <w:tc>
          <w:tcPr>
            <w:tcW w:type="dxa" w:w="1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Viewer@12345</w:t>
            </w:r>
          </w:p>
        </w:tc>
        <w:tc>
          <w:tcPr>
            <w:tcW w:type="dxa" w:w="36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Every screen visible, every save refused.</w:t>
            </w:r>
          </w:p>
        </w:tc>
      </w:tr>
      <w:tr>
        <w:tc>
          <w:tcPr>
            <w:tcW w:type="dxa" w:w="18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Board / outputs only</w:t>
            </w:r>
          </w:p>
        </w:tc>
        <w:tc>
          <w:tcPr>
            <w:tcW w:type="dxa" w:w="2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board@alrajhi.sa</w:t>
            </w:r>
          </w:p>
        </w:tc>
        <w:tc>
          <w:tcPr>
            <w:tcW w:type="dxa" w:w="1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Board@12345</w:t>
            </w:r>
          </w:p>
        </w:tc>
        <w:tc>
          <w:tcPr>
            <w:tcW w:type="dxa" w:w="36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Outputs reachable, Inputs and Data refused.</w:t>
            </w:r>
          </w:p>
        </w:tc>
      </w:tr>
      <w:tr>
        <w:tc>
          <w:tcPr>
            <w:tcW w:type="dxa" w:w="18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Super administrator</w:t>
            </w:r>
          </w:p>
        </w:tc>
        <w:tc>
          <w:tcPr>
            <w:tcW w:type="dxa" w:w="2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super@alrajhi.sa</w:t>
            </w:r>
          </w:p>
        </w:tc>
        <w:tc>
          <w:tcPr>
            <w:tcW w:type="dxa" w:w="1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Super@12345</w:t>
            </w:r>
          </w:p>
        </w:tc>
        <w:tc>
          <w:tcPr>
            <w:tcW w:type="dxa" w:w="36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Administration only; every model screen blocked.</w:t>
            </w:r>
          </w:p>
        </w:tc>
      </w:tr>
    </w:tbl>
    <w:p>
      <w:pPr>
        <w:spacing w:after="80"/>
      </w:pPr>
    </w:p>
    <w:p>
      <w:pPr>
        <w:spacing w:after="120"/>
      </w:pPr>
      <w:r>
        <w:rPr>
          <w:b w:val="false"/>
          <w:bCs w:val="false"/>
          <w:i w:val="false"/>
          <w:iCs w:val="false"/>
          <w:sz w:val="20"/>
          <w:szCs w:val="20"/>
        </w:rPr>
        <w:t xml:space="preserve">Sign-in is company + email + password. The company name is matched case-insensitively with whitespace collapsed, so "  alrajhi   GROUP " resolves — worth a test in its own right.</w:t>
      </w:r>
    </w:p>
    <w:p>
      <w:pPr>
        <w:spacing w:after="80"/>
      </w:pPr>
    </w:p>
    <w:p>
      <w:pPr>
        <w:pStyle w:val="Heading3"/>
        <w:spacing w:after="100" w:before="220"/>
      </w:pPr>
      <w:r>
        <w:t xml:space="preserve">Seeded models</w:t>
      </w:r>
    </w:p>
    <w:p>
      <w:pPr>
        <w:spacing w:after="120"/>
      </w:pPr>
      <w:r>
        <w:rPr>
          <w:b w:val="false"/>
          <w:bCs w:val="false"/>
          <w:i w:val="false"/>
          <w:iCs w:val="false"/>
          <w:sz w:val="20"/>
          <w:szCs w:val="20"/>
        </w:rPr>
        <w:t xml:space="preserve">The install seeds one demo company with five models, each differing from the plan of record by ONE thing, so any difference on the comparison screen is attributable:</w:t>
      </w:r>
    </w:p>
    <w:p>
      <w:pPr>
        <w:pStyle w:val="ListParagraph"/>
        <w:numPr>
          <w:ilvl w:val="0"/>
          <w:numId w:val="3"/>
        </w:numPr>
        <w:spacing w:after="60"/>
      </w:pPr>
      <w:r>
        <w:rPr>
          <w:sz w:val="20"/>
          <w:szCs w:val="20"/>
        </w:rPr>
        <w:t xml:space="preserve">"AlRajhi Group — 5 Year Forecast" — the fully populated plan of record. 4 business units, 3 closed years (2023–2025), 5 forecast years (2026–2030), SAR, base case.</w:t>
      </w:r>
    </w:p>
    <w:p>
      <w:pPr>
        <w:pStyle w:val="ListParagraph"/>
        <w:numPr>
          <w:ilvl w:val="0"/>
          <w:numId w:val="3"/>
        </w:numPr>
        <w:spacing w:after="60"/>
      </w:pPr>
      <w:r>
        <w:rPr>
          <w:sz w:val="20"/>
          <w:szCs w:val="20"/>
        </w:rPr>
        <w:t xml:space="preserve">"2027 Budget (draft)" — genuinely empty, so the completion tracking is visible immediately.</w:t>
      </w:r>
    </w:p>
    <w:p>
      <w:pPr>
        <w:pStyle w:val="ListParagraph"/>
        <w:numPr>
          <w:ilvl w:val="0"/>
          <w:numId w:val="3"/>
        </w:numPr>
        <w:spacing w:after="60"/>
      </w:pPr>
      <w:r>
        <w:rPr>
          <w:sz w:val="20"/>
          <w:szCs w:val="20"/>
        </w:rPr>
        <w:t xml:space="preserve">"Bank case — conservative" — growth one point below plan, cost ratio one point higher, worst case.</w:t>
      </w:r>
    </w:p>
    <w:p>
      <w:pPr>
        <w:pStyle w:val="ListParagraph"/>
        <w:numPr>
          <w:ilvl w:val="0"/>
          <w:numId w:val="3"/>
        </w:numPr>
        <w:spacing w:after="60"/>
      </w:pPr>
      <w:r>
        <w:rPr>
          <w:sz w:val="20"/>
          <w:szCs w:val="20"/>
        </w:rPr>
        <w:t xml:space="preserve">"Expansion case" — every initiative at the best case, capex raised by a quarter.</w:t>
      </w:r>
    </w:p>
    <w:p>
      <w:pPr>
        <w:pStyle w:val="ListParagraph"/>
        <w:numPr>
          <w:ilvl w:val="0"/>
          <w:numId w:val="3"/>
        </w:numPr>
        <w:spacing w:after="60"/>
      </w:pPr>
      <w:r>
        <w:rPr>
          <w:sz w:val="20"/>
          <w:szCs w:val="20"/>
        </w:rPr>
        <w:t xml:space="preserve">"Deleveraging case" — dividends suspended, minimum cash doubled.</w:t>
      </w:r>
    </w:p>
    <w:p>
      <w:pPr>
        <w:spacing w:after="80"/>
      </w:pPr>
    </w:p>
    <w:p>
      <w:pPr>
        <w:pStyle w:val="Heading2"/>
        <w:spacing w:after="120" w:before="280"/>
      </w:pPr>
      <w:r>
        <w:t xml:space="preserve">6.2  Recommended testing order</w:t>
      </w:r>
    </w:p>
    <w:p>
      <w:pPr>
        <w:spacing w:after="120"/>
      </w:pPr>
      <w:r>
        <w:rPr>
          <w:b w:val="false"/>
          <w:bCs w:val="false"/>
          <w:i w:val="false"/>
          <w:iCs w:val="false"/>
          <w:sz w:val="20"/>
          <w:szCs w:val="20"/>
        </w:rPr>
        <w:t xml:space="preserve">Test in dependency order. Nothing downstream is meaningful until the layer above it works.</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700"/>
        <w:gridCol w:w="3000"/>
        <w:gridCol w:w="4260"/>
        <w:gridCol w:w="1400"/>
      </w:tblGrid>
      <w:tr>
        <w:trPr>
          <w:tblHeader/>
        </w:trPr>
        <w:tc>
          <w:tcPr>
            <w:tcW w:type="dxa" w:w="700"/>
            <w:shd w:fill="1F3864" w:val="clear"/>
            <w:tcMar>
              <w:top w:type="dxa" w:w="70"/>
              <w:left w:type="dxa" w:w="110"/>
              <w:bottom w:type="dxa" w:w="70"/>
              <w:right w:type="dxa" w:w="110"/>
            </w:tcMar>
          </w:tcPr>
          <w:p>
            <w:pPr>
              <w:spacing w:after="0"/>
            </w:pPr>
            <w:r>
              <w:rPr>
                <w:b/>
                <w:bCs/>
                <w:i w:val="false"/>
                <w:iCs w:val="false"/>
                <w:color w:val="FFFFFF"/>
                <w:sz w:val="18"/>
                <w:szCs w:val="18"/>
              </w:rPr>
              <w:t xml:space="preserve">Phase</w:t>
            </w:r>
          </w:p>
        </w:tc>
        <w:tc>
          <w:tcPr>
            <w:tcW w:type="dxa" w:w="3000"/>
            <w:shd w:fill="1F3864" w:val="clear"/>
            <w:tcMar>
              <w:top w:type="dxa" w:w="70"/>
              <w:left w:type="dxa" w:w="110"/>
              <w:bottom w:type="dxa" w:w="70"/>
              <w:right w:type="dxa" w:w="110"/>
            </w:tcMar>
          </w:tcPr>
          <w:p>
            <w:pPr>
              <w:spacing w:after="0"/>
            </w:pPr>
            <w:r>
              <w:rPr>
                <w:b/>
                <w:bCs/>
                <w:i w:val="false"/>
                <w:iCs w:val="false"/>
                <w:color w:val="FFFFFF"/>
                <w:sz w:val="18"/>
                <w:szCs w:val="18"/>
              </w:rPr>
              <w:t xml:space="preserve">What to test</w:t>
            </w:r>
          </w:p>
        </w:tc>
        <w:tc>
          <w:tcPr>
            <w:tcW w:type="dxa" w:w="4260"/>
            <w:shd w:fill="1F3864" w:val="clear"/>
            <w:tcMar>
              <w:top w:type="dxa" w:w="70"/>
              <w:left w:type="dxa" w:w="110"/>
              <w:bottom w:type="dxa" w:w="70"/>
              <w:right w:type="dxa" w:w="110"/>
            </w:tcMar>
          </w:tcPr>
          <w:p>
            <w:pPr>
              <w:spacing w:after="0"/>
            </w:pPr>
            <w:r>
              <w:rPr>
                <w:b/>
                <w:bCs/>
                <w:i w:val="false"/>
                <w:iCs w:val="false"/>
                <w:color w:val="FFFFFF"/>
                <w:sz w:val="18"/>
                <w:szCs w:val="18"/>
              </w:rPr>
              <w:t xml:space="preserve">Why this order</w:t>
            </w:r>
          </w:p>
        </w:tc>
        <w:tc>
          <w:tcPr>
            <w:tcW w:type="dxa" w:w="1400"/>
            <w:shd w:fill="1F3864" w:val="clear"/>
            <w:tcMar>
              <w:top w:type="dxa" w:w="70"/>
              <w:left w:type="dxa" w:w="110"/>
              <w:bottom w:type="dxa" w:w="70"/>
              <w:right w:type="dxa" w:w="110"/>
            </w:tcMar>
          </w:tcPr>
          <w:p>
            <w:pPr>
              <w:spacing w:after="0"/>
            </w:pPr>
            <w:r>
              <w:rPr>
                <w:b/>
                <w:bCs/>
                <w:i w:val="false"/>
                <w:iCs w:val="false"/>
                <w:color w:val="FFFFFF"/>
                <w:sz w:val="18"/>
                <w:szCs w:val="18"/>
              </w:rPr>
              <w:t xml:space="preserve">Effort</w:t>
            </w:r>
          </w:p>
        </w:tc>
      </w:tr>
      <w:tr>
        <w:tc>
          <w:tcPr>
            <w:tcW w:type="dxa" w:w="700"/>
            <w:shd w:fill="FFFFFF" w:val="clear"/>
            <w:tcMar>
              <w:top w:type="dxa" w:w="70"/>
              <w:left w:type="dxa" w:w="110"/>
              <w:bottom w:type="dxa" w:w="70"/>
              <w:right w:type="dxa" w:w="110"/>
            </w:tcMar>
          </w:tcPr>
          <w:p>
            <w:pPr>
              <w:spacing w:after="0"/>
            </w:pPr>
            <w:r>
              <w:rPr>
                <w:b/>
                <w:bCs/>
                <w:i w:val="false"/>
                <w:iCs w:val="false"/>
                <w:color w:val="000000"/>
                <w:sz w:val="18"/>
                <w:szCs w:val="18"/>
              </w:rPr>
              <w:t xml:space="preserve">1</w:t>
            </w:r>
          </w:p>
        </w:tc>
        <w:tc>
          <w:tcPr>
            <w:tcW w:type="dxa" w:w="3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Smoke: every page loads for every role. Health endpoint. Both languages.</w:t>
            </w:r>
          </w:p>
        </w:tc>
        <w:tc>
          <w:tcPr>
            <w:tcW w:type="dxa" w:w="4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Establishes the environment is sound before anything subtle is attempted.</w:t>
            </w:r>
          </w:p>
        </w:tc>
        <w:tc>
          <w:tcPr>
            <w:tcW w:type="dxa" w:w="1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½ day</w:t>
            </w:r>
          </w:p>
        </w:tc>
      </w:tr>
      <w:tr>
        <w:tc>
          <w:tcPr>
            <w:tcW w:type="dxa" w:w="700"/>
            <w:shd w:fill="F7F9FC" w:val="clear"/>
            <w:tcMar>
              <w:top w:type="dxa" w:w="70"/>
              <w:left w:type="dxa" w:w="110"/>
              <w:bottom w:type="dxa" w:w="70"/>
              <w:right w:type="dxa" w:w="110"/>
            </w:tcMar>
          </w:tcPr>
          <w:p>
            <w:pPr>
              <w:spacing w:after="0"/>
            </w:pPr>
            <w:r>
              <w:rPr>
                <w:b/>
                <w:bCs/>
                <w:i w:val="false"/>
                <w:iCs w:val="false"/>
                <w:color w:val="000000"/>
                <w:sz w:val="18"/>
                <w:szCs w:val="18"/>
              </w:rPr>
              <w:t xml:space="preserve">2</w:t>
            </w:r>
          </w:p>
        </w:tc>
        <w:tc>
          <w:tcPr>
            <w:tcW w:type="dxa" w:w="3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Authentication and authorisation: sign-in cases, the full role × page matrix from section 4.1, CSRF, session expiry.</w:t>
            </w:r>
          </w:p>
        </w:tc>
        <w:tc>
          <w:tcPr>
            <w:tcW w:type="dxa" w:w="4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Security defects are the most expensive to find late, and a wrong role assumption invalidates every later test.</w:t>
            </w:r>
          </w:p>
        </w:tc>
        <w:tc>
          <w:tcPr>
            <w:tcW w:type="dxa" w:w="1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1 day</w:t>
            </w:r>
          </w:p>
        </w:tc>
      </w:tr>
      <w:tr>
        <w:tc>
          <w:tcPr>
            <w:tcW w:type="dxa" w:w="700"/>
            <w:shd w:fill="FFFFFF" w:val="clear"/>
            <w:tcMar>
              <w:top w:type="dxa" w:w="70"/>
              <w:left w:type="dxa" w:w="110"/>
              <w:bottom w:type="dxa" w:w="70"/>
              <w:right w:type="dxa" w:w="110"/>
            </w:tcMar>
          </w:tcPr>
          <w:p>
            <w:pPr>
              <w:spacing w:after="0"/>
            </w:pPr>
            <w:r>
              <w:rPr>
                <w:b/>
                <w:bCs/>
                <w:i w:val="false"/>
                <w:iCs w:val="false"/>
                <w:color w:val="000000"/>
                <w:sz w:val="18"/>
                <w:szCs w:val="18"/>
              </w:rPr>
              <w:t xml:space="preserve">3</w:t>
            </w:r>
          </w:p>
        </w:tc>
        <w:tc>
          <w:tcPr>
            <w:tcW w:type="dxa" w:w="3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Model lifecycle: create, open, switch, rename, duplicate, archive, delete, close.</w:t>
            </w:r>
          </w:p>
        </w:tc>
        <w:tc>
          <w:tcPr>
            <w:tcW w:type="dxa" w:w="4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Everything else needs a model to work in, and you need a disposable one before you start destructive input tests.</w:t>
            </w:r>
          </w:p>
        </w:tc>
        <w:tc>
          <w:tcPr>
            <w:tcW w:type="dxa" w:w="1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1 day</w:t>
            </w:r>
          </w:p>
        </w:tc>
      </w:tr>
      <w:tr>
        <w:tc>
          <w:tcPr>
            <w:tcW w:type="dxa" w:w="700"/>
            <w:shd w:fill="F7F9FC" w:val="clear"/>
            <w:tcMar>
              <w:top w:type="dxa" w:w="70"/>
              <w:left w:type="dxa" w:w="110"/>
              <w:bottom w:type="dxa" w:w="70"/>
              <w:right w:type="dxa" w:w="110"/>
            </w:tcMar>
          </w:tcPr>
          <w:p>
            <w:pPr>
              <w:spacing w:after="0"/>
            </w:pPr>
            <w:r>
              <w:rPr>
                <w:b/>
                <w:bCs/>
                <w:i w:val="false"/>
                <w:iCs w:val="false"/>
                <w:color w:val="000000"/>
                <w:sz w:val="18"/>
                <w:szCs w:val="18"/>
              </w:rPr>
              <w:t xml:space="preserve">4</w:t>
            </w:r>
          </w:p>
        </w:tc>
        <w:tc>
          <w:tcPr>
            <w:tcW w:type="dxa" w:w="3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Inputs steps 1 → 10 in order, positive path only, building one complete model from nothing.</w:t>
            </w:r>
          </w:p>
        </w:tc>
        <w:tc>
          <w:tcPr>
            <w:tcW w:type="dxa" w:w="4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Later steps depend on earlier ones. Building a model end to end proves the primary workflow before you attack it.</w:t>
            </w:r>
          </w:p>
        </w:tc>
        <w:tc>
          <w:tcPr>
            <w:tcW w:type="dxa" w:w="1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2 days</w:t>
            </w:r>
          </w:p>
        </w:tc>
      </w:tr>
      <w:tr>
        <w:tc>
          <w:tcPr>
            <w:tcW w:type="dxa" w:w="700"/>
            <w:shd w:fill="FFFFFF" w:val="clear"/>
            <w:tcMar>
              <w:top w:type="dxa" w:w="70"/>
              <w:left w:type="dxa" w:w="110"/>
              <w:bottom w:type="dxa" w:w="70"/>
              <w:right w:type="dxa" w:w="110"/>
            </w:tcMar>
          </w:tcPr>
          <w:p>
            <w:pPr>
              <w:spacing w:after="0"/>
            </w:pPr>
            <w:r>
              <w:rPr>
                <w:b/>
                <w:bCs/>
                <w:i w:val="false"/>
                <w:iCs w:val="false"/>
                <w:color w:val="000000"/>
                <w:sz w:val="18"/>
                <w:szCs w:val="18"/>
              </w:rPr>
              <w:t xml:space="preserve">5</w:t>
            </w:r>
          </w:p>
        </w:tc>
        <w:tc>
          <w:tcPr>
            <w:tcW w:type="dxa" w:w="3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Integrity checks: prove the opening balance check, the debt reconciliation and the per-year balance check all behave.</w:t>
            </w:r>
          </w:p>
        </w:tc>
        <w:tc>
          <w:tcPr>
            <w:tcW w:type="dxa" w:w="4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These are the system's own guarantees. If they are wrong, every number is suspect.</w:t>
            </w:r>
          </w:p>
        </w:tc>
        <w:tc>
          <w:tcPr>
            <w:tcW w:type="dxa" w:w="1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½ day</w:t>
            </w:r>
          </w:p>
        </w:tc>
      </w:tr>
      <w:tr>
        <w:tc>
          <w:tcPr>
            <w:tcW w:type="dxa" w:w="700"/>
            <w:shd w:fill="F7F9FC" w:val="clear"/>
            <w:tcMar>
              <w:top w:type="dxa" w:w="70"/>
              <w:left w:type="dxa" w:w="110"/>
              <w:bottom w:type="dxa" w:w="70"/>
              <w:right w:type="dxa" w:w="110"/>
            </w:tcMar>
          </w:tcPr>
          <w:p>
            <w:pPr>
              <w:spacing w:after="0"/>
            </w:pPr>
            <w:r>
              <w:rPr>
                <w:b/>
                <w:bCs/>
                <w:i w:val="false"/>
                <w:iCs w:val="false"/>
                <w:color w:val="000000"/>
                <w:sz w:val="18"/>
                <w:szCs w:val="18"/>
              </w:rPr>
              <w:t xml:space="preserve">6</w:t>
            </w:r>
          </w:p>
        </w:tc>
        <w:tc>
          <w:tcPr>
            <w:tcW w:type="dxa" w:w="3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Calculations: verify section 3 formula by formula against a small hand-built model.</w:t>
            </w:r>
          </w:p>
        </w:tc>
        <w:tc>
          <w:tcPr>
            <w:tcW w:type="dxa" w:w="4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core value of the product. Use a deliberately tiny model so the arithmetic is checkable by hand.</w:t>
            </w:r>
          </w:p>
        </w:tc>
        <w:tc>
          <w:tcPr>
            <w:tcW w:type="dxa" w:w="1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3 days</w:t>
            </w:r>
          </w:p>
        </w:tc>
      </w:tr>
      <w:tr>
        <w:tc>
          <w:tcPr>
            <w:tcW w:type="dxa" w:w="700"/>
            <w:shd w:fill="FFFFFF" w:val="clear"/>
            <w:tcMar>
              <w:top w:type="dxa" w:w="70"/>
              <w:left w:type="dxa" w:w="110"/>
              <w:bottom w:type="dxa" w:w="70"/>
              <w:right w:type="dxa" w:w="110"/>
            </w:tcMar>
          </w:tcPr>
          <w:p>
            <w:pPr>
              <w:spacing w:after="0"/>
            </w:pPr>
            <w:r>
              <w:rPr>
                <w:b/>
                <w:bCs/>
                <w:i w:val="false"/>
                <w:iCs w:val="false"/>
                <w:color w:val="000000"/>
                <w:sz w:val="18"/>
                <w:szCs w:val="18"/>
              </w:rPr>
              <w:t xml:space="preserve">7</w:t>
            </w:r>
          </w:p>
        </w:tc>
        <w:tc>
          <w:tcPr>
            <w:tcW w:type="dxa" w:w="3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Outputs: every screen, every scenario, the segment selector, and unit-sums-to-group.</w:t>
            </w:r>
          </w:p>
        </w:tc>
        <w:tc>
          <w:tcPr>
            <w:tcW w:type="dxa" w:w="4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Depends on 4 and 6 being right.</w:t>
            </w:r>
          </w:p>
        </w:tc>
        <w:tc>
          <w:tcPr>
            <w:tcW w:type="dxa" w:w="1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2 days</w:t>
            </w:r>
          </w:p>
        </w:tc>
      </w:tr>
      <w:tr>
        <w:tc>
          <w:tcPr>
            <w:tcW w:type="dxa" w:w="700"/>
            <w:shd w:fill="F7F9FC" w:val="clear"/>
            <w:tcMar>
              <w:top w:type="dxa" w:w="70"/>
              <w:left w:type="dxa" w:w="110"/>
              <w:bottom w:type="dxa" w:w="70"/>
              <w:right w:type="dxa" w:w="110"/>
            </w:tcMar>
          </w:tcPr>
          <w:p>
            <w:pPr>
              <w:spacing w:after="0"/>
            </w:pPr>
            <w:r>
              <w:rPr>
                <w:b/>
                <w:bCs/>
                <w:i w:val="false"/>
                <w:iCs w:val="false"/>
                <w:color w:val="000000"/>
                <w:sz w:val="18"/>
                <w:szCs w:val="18"/>
              </w:rPr>
              <w:t xml:space="preserve">8</w:t>
            </w:r>
          </w:p>
        </w:tc>
        <w:tc>
          <w:tcPr>
            <w:tcW w:type="dxa" w:w="3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Negative and boundary testing on the inputs (section 6.5).</w:t>
            </w:r>
          </w:p>
        </w:tc>
        <w:tc>
          <w:tcPr>
            <w:tcW w:type="dxa" w:w="4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Deliberately after the positive path, so a failure is unambiguous.</w:t>
            </w:r>
          </w:p>
        </w:tc>
        <w:tc>
          <w:tcPr>
            <w:tcW w:type="dxa" w:w="1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2 days</w:t>
            </w:r>
          </w:p>
        </w:tc>
      </w:tr>
      <w:tr>
        <w:tc>
          <w:tcPr>
            <w:tcW w:type="dxa" w:w="700"/>
            <w:shd w:fill="FFFFFF" w:val="clear"/>
            <w:tcMar>
              <w:top w:type="dxa" w:w="70"/>
              <w:left w:type="dxa" w:w="110"/>
              <w:bottom w:type="dxa" w:w="70"/>
              <w:right w:type="dxa" w:w="110"/>
            </w:tcMar>
          </w:tcPr>
          <w:p>
            <w:pPr>
              <w:spacing w:after="0"/>
            </w:pPr>
            <w:r>
              <w:rPr>
                <w:b/>
                <w:bCs/>
                <w:i w:val="false"/>
                <w:iCs w:val="false"/>
                <w:color w:val="000000"/>
                <w:sz w:val="18"/>
                <w:szCs w:val="18"/>
              </w:rPr>
              <w:t xml:space="preserve">9</w:t>
            </w:r>
          </w:p>
        </w:tc>
        <w:tc>
          <w:tcPr>
            <w:tcW w:type="dxa" w:w="3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Import / export: templates, upload, staging, approve, reject, CSV exports.</w:t>
            </w:r>
          </w:p>
        </w:tc>
        <w:tc>
          <w:tcPr>
            <w:tcW w:type="dxa" w:w="4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self-contained area that writes into everything already tested.</w:t>
            </w:r>
          </w:p>
        </w:tc>
        <w:tc>
          <w:tcPr>
            <w:tcW w:type="dxa" w:w="1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1 day</w:t>
            </w:r>
          </w:p>
        </w:tc>
      </w:tr>
      <w:tr>
        <w:tc>
          <w:tcPr>
            <w:tcW w:type="dxa" w:w="700"/>
            <w:shd w:fill="F7F9FC" w:val="clear"/>
            <w:tcMar>
              <w:top w:type="dxa" w:w="70"/>
              <w:left w:type="dxa" w:w="110"/>
              <w:bottom w:type="dxa" w:w="70"/>
              <w:right w:type="dxa" w:w="110"/>
            </w:tcMar>
          </w:tcPr>
          <w:p>
            <w:pPr>
              <w:spacing w:after="0"/>
            </w:pPr>
            <w:r>
              <w:rPr>
                <w:b/>
                <w:bCs/>
                <w:i w:val="false"/>
                <w:iCs w:val="false"/>
                <w:color w:val="000000"/>
                <w:sz w:val="18"/>
                <w:szCs w:val="18"/>
              </w:rPr>
              <w:t xml:space="preserve">10</w:t>
            </w:r>
          </w:p>
        </w:tc>
        <w:tc>
          <w:tcPr>
            <w:tcW w:type="dxa" w:w="30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Cross-cutting: currency, language, print, responsive layout at 1280 / 768 / 375, custom rows.</w:t>
            </w:r>
          </w:p>
        </w:tc>
        <w:tc>
          <w:tcPr>
            <w:tcW w:type="dxa" w:w="4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Presentation concerns, safe to leave last.</w:t>
            </w:r>
          </w:p>
        </w:tc>
        <w:tc>
          <w:tcPr>
            <w:tcW w:type="dxa" w:w="1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1½ days</w:t>
            </w:r>
          </w:p>
        </w:tc>
      </w:tr>
      <w:tr>
        <w:tc>
          <w:tcPr>
            <w:tcW w:type="dxa" w:w="700"/>
            <w:shd w:fill="FFFFFF" w:val="clear"/>
            <w:tcMar>
              <w:top w:type="dxa" w:w="70"/>
              <w:left w:type="dxa" w:w="110"/>
              <w:bottom w:type="dxa" w:w="70"/>
              <w:right w:type="dxa" w:w="110"/>
            </w:tcMar>
          </w:tcPr>
          <w:p>
            <w:pPr>
              <w:spacing w:after="0"/>
            </w:pPr>
            <w:r>
              <w:rPr>
                <w:b/>
                <w:bCs/>
                <w:i w:val="false"/>
                <w:iCs w:val="false"/>
                <w:color w:val="000000"/>
                <w:sz w:val="18"/>
                <w:szCs w:val="18"/>
              </w:rPr>
              <w:t xml:space="preserve">11</w:t>
            </w:r>
          </w:p>
        </w:tc>
        <w:tc>
          <w:tcPr>
            <w:tcW w:type="dxa" w:w="30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Administration (Super administrator): companies, users, roles, passwords, logos, company switching.</w:t>
            </w:r>
          </w:p>
        </w:tc>
        <w:tc>
          <w:tcPr>
            <w:tcW w:type="dxa" w:w="4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separate area with its own login; isolated from everything above.</w:t>
            </w:r>
          </w:p>
        </w:tc>
        <w:tc>
          <w:tcPr>
            <w:tcW w:type="dxa" w:w="1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1 day</w:t>
            </w:r>
          </w:p>
        </w:tc>
      </w:tr>
    </w:tbl>
    <w:p>
      <w:pPr>
        <w:spacing w:after="120"/>
      </w:pPr>
    </w:p>
    <w:p>
      <w:pPr>
        <w:pStyle w:val="Heading2"/>
        <w:spacing w:after="120" w:before="280"/>
      </w:pPr>
      <w:r>
        <w:t xml:space="preserve">6.3  Required test data</w:t>
      </w:r>
    </w:p>
    <w:p>
      <w:pPr>
        <w:pStyle w:val="Heading3"/>
        <w:spacing w:after="100" w:before="220"/>
      </w:pPr>
      <w:r>
        <w:t xml:space="preserve">A. The "tiny model" — build this first and use it for all calculation testing</w:t>
      </w:r>
    </w:p>
    <w:p>
      <w:pPr>
        <w:spacing w:after="120"/>
      </w:pPr>
      <w:r>
        <w:rPr>
          <w:b w:val="false"/>
          <w:bCs w:val="false"/>
          <w:i w:val="false"/>
          <w:iCs w:val="false"/>
          <w:sz w:val="20"/>
          <w:szCs w:val="20"/>
        </w:rPr>
        <w:t xml:space="preserve">The seeded model has billions in it and four business units. You cannot check that by hand. Create a model with deliberately round numbers instead:</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400"/>
        <w:gridCol w:w="3200"/>
        <w:gridCol w:w="3760"/>
      </w:tblGrid>
      <w:tr>
        <w:trPr>
          <w:tblHeader/>
        </w:trPr>
        <w:tc>
          <w:tcPr>
            <w:tcW w:type="dxa" w:w="2400"/>
            <w:shd w:fill="1F3864" w:val="clear"/>
            <w:tcMar>
              <w:top w:type="dxa" w:w="70"/>
              <w:left w:type="dxa" w:w="110"/>
              <w:bottom w:type="dxa" w:w="70"/>
              <w:right w:type="dxa" w:w="110"/>
            </w:tcMar>
          </w:tcPr>
          <w:p>
            <w:pPr>
              <w:spacing w:after="0"/>
            </w:pPr>
            <w:r>
              <w:rPr>
                <w:b/>
                <w:bCs/>
                <w:i w:val="false"/>
                <w:iCs w:val="false"/>
                <w:color w:val="FFFFFF"/>
                <w:sz w:val="18"/>
                <w:szCs w:val="18"/>
              </w:rPr>
              <w:t xml:space="preserve">Setting</w:t>
            </w:r>
          </w:p>
        </w:tc>
        <w:tc>
          <w:tcPr>
            <w:tcW w:type="dxa" w:w="3200"/>
            <w:shd w:fill="1F3864" w:val="clear"/>
            <w:tcMar>
              <w:top w:type="dxa" w:w="70"/>
              <w:left w:type="dxa" w:w="110"/>
              <w:bottom w:type="dxa" w:w="70"/>
              <w:right w:type="dxa" w:w="110"/>
            </w:tcMar>
          </w:tcPr>
          <w:p>
            <w:pPr>
              <w:spacing w:after="0"/>
            </w:pPr>
            <w:r>
              <w:rPr>
                <w:b/>
                <w:bCs/>
                <w:i w:val="false"/>
                <w:iCs w:val="false"/>
                <w:color w:val="FFFFFF"/>
                <w:sz w:val="18"/>
                <w:szCs w:val="18"/>
              </w:rPr>
              <w:t xml:space="preserve">Value</w:t>
            </w:r>
          </w:p>
        </w:tc>
        <w:tc>
          <w:tcPr>
            <w:tcW w:type="dxa" w:w="3760"/>
            <w:shd w:fill="1F3864" w:val="clear"/>
            <w:tcMar>
              <w:top w:type="dxa" w:w="70"/>
              <w:left w:type="dxa" w:w="110"/>
              <w:bottom w:type="dxa" w:w="70"/>
              <w:right w:type="dxa" w:w="110"/>
            </w:tcMar>
          </w:tcPr>
          <w:p>
            <w:pPr>
              <w:spacing w:after="0"/>
            </w:pPr>
            <w:r>
              <w:rPr>
                <w:b/>
                <w:bCs/>
                <w:i w:val="false"/>
                <w:iCs w:val="false"/>
                <w:color w:val="FFFFFF"/>
                <w:sz w:val="18"/>
                <w:szCs w:val="18"/>
              </w:rPr>
              <w:t xml:space="preserve">Why</w:t>
            </w:r>
          </w:p>
        </w:tc>
      </w:tr>
      <w:tr>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Business units</w:t>
            </w:r>
          </w:p>
        </w:tc>
        <w:tc>
          <w:tcPr>
            <w:tcW w:type="dxa" w:w="3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1, named "Unit A"</w:t>
            </w:r>
          </w:p>
        </w:tc>
        <w:tc>
          <w:tcPr>
            <w:tcW w:type="dxa" w:w="37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Removes allocation from the picture entirely.</w:t>
            </w:r>
          </w:p>
        </w:tc>
      </w:tr>
      <w:tr>
        <w:tc>
          <w:tcPr>
            <w:tcW w:type="dxa" w:w="2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Historical years</w:t>
            </w:r>
          </w:p>
        </w:tc>
        <w:tc>
          <w:tcPr>
            <w:tcW w:type="dxa" w:w="3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1</w:t>
            </w:r>
          </w:p>
        </w:tc>
        <w:tc>
          <w:tcPr>
            <w:tcW w:type="dxa" w:w="37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One base year, one number to reason from.</w:t>
            </w:r>
          </w:p>
        </w:tc>
      </w:tr>
      <w:tr>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Forecast years</w:t>
            </w:r>
          </w:p>
        </w:tc>
        <w:tc>
          <w:tcPr>
            <w:tcW w:type="dxa" w:w="3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2</w:t>
            </w:r>
          </w:p>
        </w:tc>
        <w:tc>
          <w:tcPr>
            <w:tcW w:type="dxa" w:w="37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Enough to prove compounding and roll-forward; small enough to check.</w:t>
            </w:r>
          </w:p>
        </w:tc>
      </w:tr>
      <w:tr>
        <w:tc>
          <w:tcPr>
            <w:tcW w:type="dxa" w:w="2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Historical revenue</w:t>
            </w:r>
          </w:p>
        </w:tc>
        <w:tc>
          <w:tcPr>
            <w:tcW w:type="dxa" w:w="3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1,000,000</w:t>
            </w:r>
          </w:p>
        </w:tc>
        <w:tc>
          <w:tcPr>
            <w:tcW w:type="dxa" w:w="37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Every derived figure stays round.</w:t>
            </w:r>
          </w:p>
        </w:tc>
      </w:tr>
      <w:tr>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Historical cost of sales / S&amp;D / G&amp;A</w:t>
            </w:r>
          </w:p>
        </w:tc>
        <w:tc>
          <w:tcPr>
            <w:tcW w:type="dxa" w:w="3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600,000 / 50,000 / 50,000</w:t>
            </w:r>
          </w:p>
        </w:tc>
        <w:tc>
          <w:tcPr>
            <w:tcW w:type="dxa" w:w="37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
            </w:r>
          </w:p>
        </w:tc>
      </w:tr>
      <w:tr>
        <w:tc>
          <w:tcPr>
            <w:tcW w:type="dxa" w:w="2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Growth (all scenarios)</w:t>
            </w:r>
          </w:p>
        </w:tc>
        <w:tc>
          <w:tcPr>
            <w:tcW w:type="dxa" w:w="3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10%</w:t>
            </w:r>
          </w:p>
        </w:tc>
        <w:tc>
          <w:tcPr>
            <w:tcW w:type="dxa" w:w="37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Year 1 = 1,100,000; year 2 = 1,210,000.</w:t>
            </w:r>
          </w:p>
        </w:tc>
      </w:tr>
      <w:tr>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Cost of sales %</w:t>
            </w:r>
          </w:p>
        </w:tc>
        <w:tc>
          <w:tcPr>
            <w:tcW w:type="dxa" w:w="3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60%</w:t>
            </w:r>
          </w:p>
        </w:tc>
        <w:tc>
          <w:tcPr>
            <w:tcW w:type="dxa" w:w="37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Year 1 cost of sales = 660,000.</w:t>
            </w:r>
          </w:p>
        </w:tc>
      </w:tr>
      <w:tr>
        <w:tc>
          <w:tcPr>
            <w:tcW w:type="dxa" w:w="2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S&amp;D % / G&amp;A %</w:t>
            </w:r>
          </w:p>
        </w:tc>
        <w:tc>
          <w:tcPr>
            <w:tcW w:type="dxa" w:w="3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5% / 0%, fixed 0</w:t>
            </w:r>
          </w:p>
        </w:tc>
        <w:tc>
          <w:tcPr>
            <w:tcW w:type="dxa" w:w="37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Isolates the variable calculation first.</w:t>
            </w:r>
          </w:p>
        </w:tc>
      </w:tr>
      <w:tr>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Inflation</w:t>
            </w:r>
          </w:p>
        </w:tc>
        <w:tc>
          <w:tcPr>
            <w:tcW w:type="dxa" w:w="3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0%</w:t>
            </w:r>
          </w:p>
        </w:tc>
        <w:tc>
          <w:tcPr>
            <w:tcW w:type="dxa" w:w="37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Removes the inflation index until you test it deliberately.</w:t>
            </w:r>
          </w:p>
        </w:tc>
      </w:tr>
      <w:tr>
        <w:tc>
          <w:tcPr>
            <w:tcW w:type="dxa" w:w="2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Working capital days</w:t>
            </w:r>
          </w:p>
        </w:tc>
        <w:tc>
          <w:tcPr>
            <w:tcW w:type="dxa" w:w="3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AR 30, inventory 0, AP 0, accruals 0</w:t>
            </w:r>
          </w:p>
        </w:tc>
        <w:tc>
          <w:tcPr>
            <w:tcW w:type="dxa" w:w="37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One movement at a time.</w:t>
            </w:r>
          </w:p>
        </w:tc>
      </w:tr>
      <w:tr>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Days in period</w:t>
            </w:r>
          </w:p>
        </w:tc>
        <w:tc>
          <w:tcPr>
            <w:tcW w:type="dxa" w:w="3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365</w:t>
            </w:r>
          </w:p>
        </w:tc>
        <w:tc>
          <w:tcPr>
            <w:tcW w:type="dxa" w:w="37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
            </w:r>
          </w:p>
        </w:tc>
      </w:tr>
      <w:tr>
        <w:tc>
          <w:tcPr>
            <w:tcW w:type="dxa" w:w="2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Levy</w:t>
            </w:r>
          </w:p>
        </w:tc>
        <w:tc>
          <w:tcPr>
            <w:tcW w:type="dxa" w:w="3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Zakat, 2.5%, on zakat base</w:t>
            </w:r>
          </w:p>
        </w:tc>
        <w:tc>
          <w:tcPr>
            <w:tcW w:type="dxa" w:w="37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
            </w:r>
          </w:p>
        </w:tc>
      </w:tr>
      <w:tr>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Debt / provisions / initiatives / capex</w:t>
            </w:r>
          </w:p>
        </w:tc>
        <w:tc>
          <w:tcPr>
            <w:tcW w:type="dxa" w:w="3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None</w:t>
            </w:r>
          </w:p>
        </w:tc>
        <w:tc>
          <w:tcPr>
            <w:tcW w:type="dxa" w:w="37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Add them one at a time, later.</w:t>
            </w:r>
          </w:p>
        </w:tc>
      </w:tr>
      <w:tr>
        <w:tc>
          <w:tcPr>
            <w:tcW w:type="dxa" w:w="2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Minimum cash / revolver rate / cash rate</w:t>
            </w:r>
          </w:p>
        </w:tc>
        <w:tc>
          <w:tcPr>
            <w:tcW w:type="dxa" w:w="3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0 / 0% / 0%</w:t>
            </w:r>
          </w:p>
        </w:tc>
        <w:tc>
          <w:tcPr>
            <w:tcW w:type="dxa" w:w="37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Turns the revolver and interest off until you test them.</w:t>
            </w:r>
          </w:p>
        </w:tc>
      </w:tr>
      <w:tr>
        <w:tc>
          <w:tcPr>
            <w:tcW w:type="dxa" w:w="2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Dividend / reserve</w:t>
            </w:r>
          </w:p>
        </w:tc>
        <w:tc>
          <w:tcPr>
            <w:tcW w:type="dxa" w:w="3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0% / 0%</w:t>
            </w:r>
          </w:p>
        </w:tc>
        <w:tc>
          <w:tcPr>
            <w:tcW w:type="dxa" w:w="37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
            </w:r>
          </w:p>
        </w:tc>
      </w:tr>
      <w:tr>
        <w:tc>
          <w:tcPr>
            <w:tcW w:type="dxa" w:w="2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Opening balance sheet</w:t>
            </w:r>
          </w:p>
        </w:tc>
        <w:tc>
          <w:tcPr>
            <w:tcW w:type="dxa" w:w="3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Cash 100,000; share capital 100,000; everything else 0</w:t>
            </w:r>
          </w:p>
        </w:tc>
        <w:tc>
          <w:tcPr>
            <w:tcW w:type="dxa" w:w="37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Balances trivially, and every movement is visible.</w:t>
            </w:r>
          </w:p>
        </w:tc>
      </w:tr>
    </w:tbl>
    <w:p>
      <w:pPr>
        <w:spacing w:after="80"/>
      </w:pPr>
    </w:p>
    <w:p>
      <w:pPr>
        <w:spacing w:after="120"/>
      </w:pPr>
      <w:r>
        <w:rPr>
          <w:b w:val="false"/>
          <w:bCs w:val="false"/>
          <w:i w:val="false"/>
          <w:iCs w:val="false"/>
          <w:sz w:val="20"/>
          <w:szCs w:val="20"/>
        </w:rPr>
        <w:t xml:space="preserve">From this model, every formula in section 3 can be verified with a calculator. Then add ONE feature at a time — inflation, then a fixed cost, then a facility, then an initiative, then capex — and re-verify.</w:t>
      </w:r>
    </w:p>
    <w:p>
      <w:pPr>
        <w:spacing w:after="80"/>
      </w:pPr>
    </w:p>
    <w:p>
      <w:pPr>
        <w:pStyle w:val="Heading3"/>
        <w:spacing w:after="100" w:before="220"/>
      </w:pPr>
      <w:r>
        <w:t xml:space="preserve">B. Other data sets you will need</w:t>
      </w:r>
    </w:p>
    <w:p>
      <w:pPr>
        <w:pStyle w:val="ListParagraph"/>
        <w:numPr>
          <w:ilvl w:val="0"/>
          <w:numId w:val="3"/>
        </w:numPr>
        <w:spacing w:after="60"/>
      </w:pPr>
      <w:r>
        <w:rPr>
          <w:sz w:val="20"/>
          <w:szCs w:val="20"/>
        </w:rPr>
        <w:t xml:space="preserve">A deliberately UNBALANCED opening balance sheet — set retained earnings 1,000 too high — to prove the red banner, the failed check and the wording.</w:t>
      </w:r>
    </w:p>
    <w:p>
      <w:pPr>
        <w:pStyle w:val="ListParagraph"/>
        <w:numPr>
          <w:ilvl w:val="0"/>
          <w:numId w:val="3"/>
        </w:numPr>
        <w:spacing w:after="60"/>
      </w:pPr>
      <w:r>
        <w:rPr>
          <w:sz w:val="20"/>
          <w:szCs w:val="20"/>
        </w:rPr>
        <w:t xml:space="preserve">A model where the named facilities exceed the opening debt, to prove the debt reconciliation failure and its message.</w:t>
      </w:r>
    </w:p>
    <w:p>
      <w:pPr>
        <w:pStyle w:val="ListParagraph"/>
        <w:numPr>
          <w:ilvl w:val="0"/>
          <w:numId w:val="3"/>
        </w:numPr>
        <w:spacing w:after="60"/>
      </w:pPr>
      <w:r>
        <w:rPr>
          <w:sz w:val="20"/>
          <w:szCs w:val="20"/>
        </w:rPr>
        <w:t xml:space="preserve">A model with three or more business units, to test the segment selector and prove the units sum to the group.</w:t>
      </w:r>
    </w:p>
    <w:p>
      <w:pPr>
        <w:pStyle w:val="ListParagraph"/>
        <w:numPr>
          <w:ilvl w:val="0"/>
          <w:numId w:val="3"/>
        </w:numPr>
        <w:spacing w:after="60"/>
      </w:pPr>
      <w:r>
        <w:rPr>
          <w:sz w:val="20"/>
          <w:szCs w:val="20"/>
        </w:rPr>
        <w:t xml:space="preserve">A model with a company-wide initiative (owner = "Total — whole company") plus unit-owned ones, to prove the revenue mix still totals 100%.</w:t>
      </w:r>
    </w:p>
    <w:p>
      <w:pPr>
        <w:pStyle w:val="ListParagraph"/>
        <w:numPr>
          <w:ilvl w:val="0"/>
          <w:numId w:val="3"/>
        </w:numPr>
        <w:spacing w:after="60"/>
      </w:pPr>
      <w:r>
        <w:rPr>
          <w:sz w:val="20"/>
          <w:szCs w:val="20"/>
        </w:rPr>
        <w:t xml:space="preserve">A model with an initiative that has BOTH a step-8 capex line and itemised step-9 assets, to prove the register supersedes.</w:t>
      </w:r>
    </w:p>
    <w:p>
      <w:pPr>
        <w:pStyle w:val="ListParagraph"/>
        <w:numPr>
          <w:ilvl w:val="0"/>
          <w:numId w:val="3"/>
        </w:numPr>
        <w:spacing w:after="60"/>
      </w:pPr>
      <w:r>
        <w:rPr>
          <w:sz w:val="20"/>
          <w:szCs w:val="20"/>
        </w:rPr>
        <w:t xml:space="preserve">A model with two levies, to prove both are assessed on pre-levy profit and the balance-sheet label changes to "Zakat &amp; tax payable".</w:t>
      </w:r>
    </w:p>
    <w:p>
      <w:pPr>
        <w:pStyle w:val="ListParagraph"/>
        <w:numPr>
          <w:ilvl w:val="0"/>
          <w:numId w:val="3"/>
        </w:numPr>
        <w:spacing w:after="60"/>
      </w:pPr>
      <w:r>
        <w:rPr>
          <w:sz w:val="20"/>
          <w:szCs w:val="20"/>
        </w:rPr>
        <w:t xml:space="preserve">A model with a closed year that has no data, to prove the yellow banner.</w:t>
      </w:r>
    </w:p>
    <w:p>
      <w:pPr>
        <w:pStyle w:val="ListParagraph"/>
        <w:numPr>
          <w:ilvl w:val="0"/>
          <w:numId w:val="3"/>
        </w:numPr>
        <w:spacing w:after="60"/>
      </w:pPr>
      <w:r>
        <w:rPr>
          <w:sz w:val="20"/>
          <w:szCs w:val="20"/>
        </w:rPr>
        <w:t xml:space="preserve">A second company, to prove tenant isolation.</w:t>
      </w:r>
    </w:p>
    <w:p>
      <w:pPr>
        <w:pStyle w:val="ListParagraph"/>
        <w:numPr>
          <w:ilvl w:val="0"/>
          <w:numId w:val="3"/>
        </w:numPr>
        <w:spacing w:after="60"/>
      </w:pPr>
      <w:r>
        <w:rPr>
          <w:sz w:val="20"/>
          <w:szCs w:val="20"/>
        </w:rPr>
        <w:t xml:space="preserve">A closed (locked) model, to prove 423 on writes and that duplication still works.</w:t>
      </w:r>
    </w:p>
    <w:p>
      <w:pPr>
        <w:pStyle w:val="ListParagraph"/>
        <w:numPr>
          <w:ilvl w:val="0"/>
          <w:numId w:val="3"/>
        </w:numPr>
        <w:spacing w:after="60"/>
      </w:pPr>
      <w:r>
        <w:rPr>
          <w:sz w:val="20"/>
          <w:szCs w:val="20"/>
        </w:rPr>
        <w:t xml:space="preserve">A filled-in spreadsheet template containing some deliberately bad rows: an unknown unit, an unknown scenario, a non-numeric cell and a blank cell.</w:t>
      </w:r>
    </w:p>
    <w:p>
      <w:pPr>
        <w:pStyle w:val="ListParagraph"/>
        <w:numPr>
          <w:ilvl w:val="0"/>
          <w:numId w:val="3"/>
        </w:numPr>
        <w:spacing w:after="60"/>
      </w:pPr>
      <w:r>
        <w:rPr>
          <w:sz w:val="20"/>
          <w:szCs w:val="20"/>
        </w:rPr>
        <w:t xml:space="preserve">An archived model, to prove it disappears from the switcher and from Model comparison.</w:t>
      </w:r>
    </w:p>
    <w:p>
      <w:pPr>
        <w:spacing w:after="120"/>
      </w:pPr>
    </w:p>
    <w:p>
      <w:pPr>
        <w:pStyle w:val="Heading2"/>
        <w:spacing w:after="120" w:before="280"/>
      </w:pPr>
      <w:r>
        <w:t xml:space="preserve">6.4  Critical workflows — must pass before any release</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700"/>
        <w:gridCol w:w="2100"/>
        <w:gridCol w:w="3060"/>
        <w:gridCol w:w="3500"/>
      </w:tblGrid>
      <w:tr>
        <w:trPr>
          <w:tblHeader/>
        </w:trPr>
        <w:tc>
          <w:tcPr>
            <w:tcW w:type="dxa" w:w="700"/>
            <w:shd w:fill="1F3864" w:val="clear"/>
            <w:tcMar>
              <w:top w:type="dxa" w:w="70"/>
              <w:left w:type="dxa" w:w="110"/>
              <w:bottom w:type="dxa" w:w="70"/>
              <w:right w:type="dxa" w:w="110"/>
            </w:tcMar>
          </w:tcPr>
          <w:p>
            <w:pPr>
              <w:spacing w:after="0"/>
            </w:pPr>
            <w:r>
              <w:rPr>
                <w:b/>
                <w:bCs/>
                <w:i w:val="false"/>
                <w:iCs w:val="false"/>
                <w:color w:val="FFFFFF"/>
                <w:sz w:val="18"/>
                <w:szCs w:val="18"/>
              </w:rPr>
              <w:t xml:space="preserve">ID</w:t>
            </w:r>
          </w:p>
        </w:tc>
        <w:tc>
          <w:tcPr>
            <w:tcW w:type="dxa" w:w="2100"/>
            <w:shd w:fill="1F3864" w:val="clear"/>
            <w:tcMar>
              <w:top w:type="dxa" w:w="70"/>
              <w:left w:type="dxa" w:w="110"/>
              <w:bottom w:type="dxa" w:w="70"/>
              <w:right w:type="dxa" w:w="110"/>
            </w:tcMar>
          </w:tcPr>
          <w:p>
            <w:pPr>
              <w:spacing w:after="0"/>
            </w:pPr>
            <w:r>
              <w:rPr>
                <w:b/>
                <w:bCs/>
                <w:i w:val="false"/>
                <w:iCs w:val="false"/>
                <w:color w:val="FFFFFF"/>
                <w:sz w:val="18"/>
                <w:szCs w:val="18"/>
              </w:rPr>
              <w:t xml:space="preserve">Scenario</w:t>
            </w:r>
          </w:p>
        </w:tc>
        <w:tc>
          <w:tcPr>
            <w:tcW w:type="dxa" w:w="3060"/>
            <w:shd w:fill="1F3864" w:val="clear"/>
            <w:tcMar>
              <w:top w:type="dxa" w:w="70"/>
              <w:left w:type="dxa" w:w="110"/>
              <w:bottom w:type="dxa" w:w="70"/>
              <w:right w:type="dxa" w:w="110"/>
            </w:tcMar>
          </w:tcPr>
          <w:p>
            <w:pPr>
              <w:spacing w:after="0"/>
            </w:pPr>
            <w:r>
              <w:rPr>
                <w:b/>
                <w:bCs/>
                <w:i w:val="false"/>
                <w:iCs w:val="false"/>
                <w:color w:val="FFFFFF"/>
                <w:sz w:val="18"/>
                <w:szCs w:val="18"/>
              </w:rPr>
              <w:t xml:space="preserve">Steps</w:t>
            </w:r>
          </w:p>
        </w:tc>
        <w:tc>
          <w:tcPr>
            <w:tcW w:type="dxa" w:w="3500"/>
            <w:shd w:fill="1F3864" w:val="clear"/>
            <w:tcMar>
              <w:top w:type="dxa" w:w="70"/>
              <w:left w:type="dxa" w:w="110"/>
              <w:bottom w:type="dxa" w:w="70"/>
              <w:right w:type="dxa" w:w="110"/>
            </w:tcMar>
          </w:tcPr>
          <w:p>
            <w:pPr>
              <w:spacing w:after="0"/>
            </w:pPr>
            <w:r>
              <w:rPr>
                <w:b/>
                <w:bCs/>
                <w:i w:val="false"/>
                <w:iCs w:val="false"/>
                <w:color w:val="FFFFFF"/>
                <w:sz w:val="18"/>
                <w:szCs w:val="18"/>
              </w:rPr>
              <w:t xml:space="preserve">Expected result</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C1</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Build a forecast from nothing</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Follow workflow W1 in section 4.8 end to end with the tiny model.</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model that reaches step 10 with a green "balances" banner, and a Dashboard showing "Balanced &amp; reconciled" with no red banner.</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C2</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balance sheet balances every year</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Open the balance sheet on a model whose opening sheet balances. Read the "Balance check" row.</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Zero (or within ±0.50) in every forecast column, in all three scenarios.</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C3</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Cash ties between two statements</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Compare "Cash &amp; cash equivalents" on the balance sheet with "Cash at end of year" on the cash flow, year by year.</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Identical in every year. The integrity badge reads "Balanced &amp; reconciled".</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C4</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Business units sum to the group</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On the income statement, note total revenue and EBITDA for each unit, then for Total.</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units add up to the group exactly, for every line down to EBIT, in every scenario.</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C5</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Scenario switching changes everything</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Switch Best → Base → Worst on the income statement, cash flow and balance sheet.</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Every figure changes; every statement still ties; the integrity badge stays green.</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C6</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Read-only roles cannot write</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Sign in as the Analyst. Attempt to save on each input step, both from the UI and by posting directly.</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Every control is disabled AND every direct POST returns 403. Nothing is written.</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C7</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Tenant isolation</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As a user of company A, post a model id belonging to company B to /models/switch and to a save endpoint.</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Silently ignored. No data from company B is ever visible or writable.</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C8</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Import needs approval</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Upload a filled-in template. Before approving, check the input step.</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model is unchanged. Only after Approve do the values appear.</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C9</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Save as does not disturb the original</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Open a model, change a figure on any input step, press "Save as…" and name the copy.</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copy carries the change; the original still holds its previous value; the session is now in the copy.</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C10</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 user-added row keeps the model balanced</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Add a row above "Total operating expenses" for −100,000 with counterpart "profit and cash".</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subtotal, EBITDA, EBIT and net profit all move by 100,000; cash falls; the balance check stays at zero.</w:t>
            </w:r>
          </w:p>
        </w:tc>
      </w:tr>
    </w:tbl>
    <w:p>
      <w:pPr>
        <w:spacing w:after="120"/>
      </w:pPr>
    </w:p>
    <w:p>
      <w:pPr>
        <w:pStyle w:val="Heading2"/>
        <w:spacing w:after="120" w:before="280"/>
      </w:pPr>
      <w:r>
        <w:t xml:space="preserve">6.5  Positive test scenarios</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700"/>
        <w:gridCol w:w="2100"/>
        <w:gridCol w:w="3060"/>
        <w:gridCol w:w="3500"/>
      </w:tblGrid>
      <w:tr>
        <w:trPr>
          <w:tblHeader/>
        </w:trPr>
        <w:tc>
          <w:tcPr>
            <w:tcW w:type="dxa" w:w="700"/>
            <w:shd w:fill="1F3864" w:val="clear"/>
            <w:tcMar>
              <w:top w:type="dxa" w:w="70"/>
              <w:left w:type="dxa" w:w="110"/>
              <w:bottom w:type="dxa" w:w="70"/>
              <w:right w:type="dxa" w:w="110"/>
            </w:tcMar>
          </w:tcPr>
          <w:p>
            <w:pPr>
              <w:spacing w:after="0"/>
            </w:pPr>
            <w:r>
              <w:rPr>
                <w:b/>
                <w:bCs/>
                <w:i w:val="false"/>
                <w:iCs w:val="false"/>
                <w:color w:val="FFFFFF"/>
                <w:sz w:val="18"/>
                <w:szCs w:val="18"/>
              </w:rPr>
              <w:t xml:space="preserve">ID</w:t>
            </w:r>
          </w:p>
        </w:tc>
        <w:tc>
          <w:tcPr>
            <w:tcW w:type="dxa" w:w="2100"/>
            <w:shd w:fill="1F3864" w:val="clear"/>
            <w:tcMar>
              <w:top w:type="dxa" w:w="70"/>
              <w:left w:type="dxa" w:w="110"/>
              <w:bottom w:type="dxa" w:w="70"/>
              <w:right w:type="dxa" w:w="110"/>
            </w:tcMar>
          </w:tcPr>
          <w:p>
            <w:pPr>
              <w:spacing w:after="0"/>
            </w:pPr>
            <w:r>
              <w:rPr>
                <w:b/>
                <w:bCs/>
                <w:i w:val="false"/>
                <w:iCs w:val="false"/>
                <w:color w:val="FFFFFF"/>
                <w:sz w:val="18"/>
                <w:szCs w:val="18"/>
              </w:rPr>
              <w:t xml:space="preserve">Scenario</w:t>
            </w:r>
          </w:p>
        </w:tc>
        <w:tc>
          <w:tcPr>
            <w:tcW w:type="dxa" w:w="3060"/>
            <w:shd w:fill="1F3864" w:val="clear"/>
            <w:tcMar>
              <w:top w:type="dxa" w:w="70"/>
              <w:left w:type="dxa" w:w="110"/>
              <w:bottom w:type="dxa" w:w="70"/>
              <w:right w:type="dxa" w:w="110"/>
            </w:tcMar>
          </w:tcPr>
          <w:p>
            <w:pPr>
              <w:spacing w:after="0"/>
            </w:pPr>
            <w:r>
              <w:rPr>
                <w:b/>
                <w:bCs/>
                <w:i w:val="false"/>
                <w:iCs w:val="false"/>
                <w:color w:val="FFFFFF"/>
                <w:sz w:val="18"/>
                <w:szCs w:val="18"/>
              </w:rPr>
              <w:t xml:space="preserve">Steps</w:t>
            </w:r>
          </w:p>
        </w:tc>
        <w:tc>
          <w:tcPr>
            <w:tcW w:type="dxa" w:w="3500"/>
            <w:shd w:fill="1F3864" w:val="clear"/>
            <w:tcMar>
              <w:top w:type="dxa" w:w="70"/>
              <w:left w:type="dxa" w:w="110"/>
              <w:bottom w:type="dxa" w:w="70"/>
              <w:right w:type="dxa" w:w="110"/>
            </w:tcMar>
          </w:tcPr>
          <w:p>
            <w:pPr>
              <w:spacing w:after="0"/>
            </w:pPr>
            <w:r>
              <w:rPr>
                <w:b/>
                <w:bCs/>
                <w:i w:val="false"/>
                <w:iCs w:val="false"/>
                <w:color w:val="FFFFFF"/>
                <w:sz w:val="18"/>
                <w:szCs w:val="18"/>
              </w:rPr>
              <w:t xml:space="preserve">Expected result</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P1</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Sign in with a messy company name</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Enter "  alrajhi   GROUP " with a valid email and password.</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Signs in normally — the name is trimmed, collapsed and lower-cased for matching.</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P2</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Thousands separators as you type</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Type 1000000 into any amount field.</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Displays as 1,000,000. Saves as 1000000. The caret does not jump.</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P3</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Accounting negatives</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Type (400) into an amount field and save.</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Stored as −400 and redisplayed as (400) on the outputs, in red.</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P4</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Rename a business unit</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Change a unit name on step 1 and save. Check steps 4, 5, 6 and the outputs.</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All of that unit's actuals, drivers and initiatives survive the rename — matching is by id.</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P5</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Undo and redo</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Change three fields, press Undo three times, then Redo twice, then Save.</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Field values step back and forward correctly; only the final on-screen state is written.</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P6</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Currency translation is lossless</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Note a figure in SAR, switch to USD, then back to SAR.</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original figure returns exactly. Percentages, ratios and day counts never change.</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P7</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Currency does not affect calculations</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Switch to USD and read the balance check row.</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Still zero. Switching currency can never change a result.</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P8</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IFRS class auto-fills the life</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On step 9 choose "Buildings" for an asset.</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Useful life becomes 25 and the rate becomes 4.00%. Choosing "Land" gives life 0 and rate 0.</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P9</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Explicit rate override survives</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Set rate method to "Explicit", type 7.5%, change the useful life, save and reopen.</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rate stays 7.5%. On the "useful life" method it would have been recomputed.</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P10</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Initiative start year</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Set an initiative to start in year 3 but enter revenue in year 1.</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Years 1 and 2 contribute nothing to any output, regardless of what was typed.</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P11</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Delivery probability scales everything</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Set Base probability to 50% on an initiative with 100,000 of revenue.</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initiative contributes 50,000 of revenue in the base case, and its costs and capex halve too.</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P12</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Company-wide initiative</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Set an initiative's owner to "Total — whole company".</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It appears in the group result and in NO single unit's result, and gets its own line on the revenue mix, which still totals 100%.</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P13</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Revolver draws to the floor</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Set minimum cash to 1,000,000 on a model whose cash would otherwise fall to 200,000.</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revolver draws exactly 800,000 and closing cash is exactly 1,000,000.</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P14</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Revolver repays from surplus</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With a revolver balance outstanding, raise revenue so cash exceeds the minimum.</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revolver repays the lesser of its balance and the surplus above the minimum.</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P15</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Repayment capped at the balance</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Enter a repayment larger than the facility's outstanding balance.</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Only the available balance is repaid. The facility reaches zero and never goes negative.</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P16</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Two levies</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Add a second levy at 15% on net profit alongside zakat.</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Two separate lines on the income statement plus a combined subtotal; the balance-sheet label becomes "Zakat &amp; tax payable"; each levy is charged on profit BEFORE any levy.</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P17</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Model duplication is a deep copy</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Duplicate a fully populated model and compare every input screen.</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Units, actuals, drivers, assumptions, opening balances, debt and schedules, initiatives with years and probabilities, taxes, provisions and standalone assets all match.</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P18</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Delete confirmation</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Delete a model, typing the name exactly.</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Deleted, with a flash. Typing anything else is refused with "Type the model name exactly to confirm deletion."</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P19</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CSV matches the screen</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Export the balance sheet and compare it with the screen.</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Every figure matches at 2 decimal places, in the same presentation currency.</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P20</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Arabic build</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Switch to Arabic on every screen, then save an input step.</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Right-to-left layout, translated labels, Western numerals, year markers as (ف) and (ت). The save still works and stores the same values.</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P21</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Template round-trip</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Download the historical-data template, fill it in, upload it, approve it.</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values appear on step 4 against the right unit, line and year, and the outputs move.</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P22</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Print layout</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Build a report pack and print it.</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Tables are not cut off; the print stylesheet applies; no navigation chrome is printed.</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P23</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Responsive layout</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View at 1280px, 768px and 375px.</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 horizontal page overflow at any width. Wide tables scroll inside their own container.</w:t>
            </w:r>
          </w:p>
        </w:tc>
      </w:tr>
    </w:tbl>
    <w:p>
      <w:pPr>
        <w:spacing w:after="120"/>
      </w:pPr>
    </w:p>
    <w:p>
      <w:pPr>
        <w:pStyle w:val="Heading2"/>
        <w:spacing w:after="120" w:before="280"/>
      </w:pPr>
      <w:r>
        <w:t xml:space="preserve">6.6  Negative test scenarios</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700"/>
        <w:gridCol w:w="2100"/>
        <w:gridCol w:w="3060"/>
        <w:gridCol w:w="3500"/>
      </w:tblGrid>
      <w:tr>
        <w:trPr>
          <w:tblHeader/>
        </w:trPr>
        <w:tc>
          <w:tcPr>
            <w:tcW w:type="dxa" w:w="700"/>
            <w:shd w:fill="1F3864" w:val="clear"/>
            <w:tcMar>
              <w:top w:type="dxa" w:w="70"/>
              <w:left w:type="dxa" w:w="110"/>
              <w:bottom w:type="dxa" w:w="70"/>
              <w:right w:type="dxa" w:w="110"/>
            </w:tcMar>
          </w:tcPr>
          <w:p>
            <w:pPr>
              <w:spacing w:after="0"/>
            </w:pPr>
            <w:r>
              <w:rPr>
                <w:b/>
                <w:bCs/>
                <w:i w:val="false"/>
                <w:iCs w:val="false"/>
                <w:color w:val="FFFFFF"/>
                <w:sz w:val="18"/>
                <w:szCs w:val="18"/>
              </w:rPr>
              <w:t xml:space="preserve">ID</w:t>
            </w:r>
          </w:p>
        </w:tc>
        <w:tc>
          <w:tcPr>
            <w:tcW w:type="dxa" w:w="2100"/>
            <w:shd w:fill="1F3864" w:val="clear"/>
            <w:tcMar>
              <w:top w:type="dxa" w:w="70"/>
              <w:left w:type="dxa" w:w="110"/>
              <w:bottom w:type="dxa" w:w="70"/>
              <w:right w:type="dxa" w:w="110"/>
            </w:tcMar>
          </w:tcPr>
          <w:p>
            <w:pPr>
              <w:spacing w:after="0"/>
            </w:pPr>
            <w:r>
              <w:rPr>
                <w:b/>
                <w:bCs/>
                <w:i w:val="false"/>
                <w:iCs w:val="false"/>
                <w:color w:val="FFFFFF"/>
                <w:sz w:val="18"/>
                <w:szCs w:val="18"/>
              </w:rPr>
              <w:t xml:space="preserve">Scenario</w:t>
            </w:r>
          </w:p>
        </w:tc>
        <w:tc>
          <w:tcPr>
            <w:tcW w:type="dxa" w:w="3060"/>
            <w:shd w:fill="1F3864" w:val="clear"/>
            <w:tcMar>
              <w:top w:type="dxa" w:w="70"/>
              <w:left w:type="dxa" w:w="110"/>
              <w:bottom w:type="dxa" w:w="70"/>
              <w:right w:type="dxa" w:w="110"/>
            </w:tcMar>
          </w:tcPr>
          <w:p>
            <w:pPr>
              <w:spacing w:after="0"/>
            </w:pPr>
            <w:r>
              <w:rPr>
                <w:b/>
                <w:bCs/>
                <w:i w:val="false"/>
                <w:iCs w:val="false"/>
                <w:color w:val="FFFFFF"/>
                <w:sz w:val="18"/>
                <w:szCs w:val="18"/>
              </w:rPr>
              <w:t xml:space="preserve">Steps</w:t>
            </w:r>
          </w:p>
        </w:tc>
        <w:tc>
          <w:tcPr>
            <w:tcW w:type="dxa" w:w="3500"/>
            <w:shd w:fill="1F3864" w:val="clear"/>
            <w:tcMar>
              <w:top w:type="dxa" w:w="70"/>
              <w:left w:type="dxa" w:w="110"/>
              <w:bottom w:type="dxa" w:w="70"/>
              <w:right w:type="dxa" w:w="110"/>
            </w:tcMar>
          </w:tcPr>
          <w:p>
            <w:pPr>
              <w:spacing w:after="0"/>
            </w:pPr>
            <w:r>
              <w:rPr>
                <w:b/>
                <w:bCs/>
                <w:i w:val="false"/>
                <w:iCs w:val="false"/>
                <w:color w:val="FFFFFF"/>
                <w:sz w:val="18"/>
                <w:szCs w:val="18"/>
              </w:rPr>
              <w:t xml:space="preserve">Expected result</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N1</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Sign in with a wrong password</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Valid company and email, wrong password.</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401 with the generic message. Identical wording to a wrong company or a wrong email.</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N2</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Enumerate companies through the sign-in form</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Try a company that does not exist, then one that does with a bad email.</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two are indistinguishable. No timing or wording difference should reveal which failed.</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N3</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Rate limiting</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Nine failed sign-ins from one IP within 15 minutes.</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ninth returns 429 with the minutes remaining. A successful sign-in before that clears the counter.</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N4</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Inactive user</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Deactivate a user, then try to sign in as them.</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generic 401. An already-signed-in session is destroyed on the next request.</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N5</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Missing CSRF token</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POST to any save endpoint without _csrf.</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403 "Your session expired". Nothing is written.</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N6</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Stale CSRF token</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Open a form, sign out in another tab, submit the form.</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403. Nothing is written.</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N7</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Board role reaches the inputs</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Sign in as board@alrajhi.sa and open /inputs/1 directly.</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403 "Inputs are not part of your access" with a link to the outputs.</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N8</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Super administrator reaches a model</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Sign in as super@alrajhi.sa and open /outputs/dashboard, then POST to /inputs/1.</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GET redirects to /admin/companies; the POST returns 403 "This account manages access, not models".</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N9</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Ordinary administrator reaches the admin area</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Sign in as admin@alrajhi.sa and open /admin/users.</w:t>
            </w:r>
          </w:p>
        </w:tc>
        <w:tc>
          <w:tcPr>
            <w:tcW w:type="dxa" w:w="3500"/>
            <w:shd w:fill="FFFFFF" w:val="clear"/>
            <w:tcMar>
              <w:top w:type="dxa" w:w="70"/>
              <w:left w:type="dxa" w:w="110"/>
              <w:bottom w:type="dxa" w:w="70"/>
              <w:right w:type="dxa" w:w="110"/>
            </w:tcMar>
          </w:tcPr>
          <w:p>
            <w:pPr>
              <w:spacing w:after="0"/>
            </w:pPr>
            <w:r>
              <w:rPr>
                <w:b/>
                <w:bCs/>
                <w:i w:val="false"/>
                <w:iCs w:val="false"/>
                <w:color w:val="000000"/>
                <w:sz w:val="18"/>
                <w:szCs w:val="18"/>
              </w:rPr>
              <w:t xml:space="preserve">403. Confirmed current behaviour — raise against defect D3, and confirm the intended design with the business.</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N10</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Write to a closed model</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Close a model, then attempt to save any input step.</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423 "This model is closed" with an instruction to duplicate it. Reads, rename, duplicate and reopen still work.</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N11</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Read-only user hits a closed model</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As the Analyst, attempt to save on a closed model.</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403 (the role message), NOT 423 — being told the model is closed would not be their real problem.</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N12</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Cross-tenant row id</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Post a custom-row id or model id belonging to another company.</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Rejected or silently ignored. Nothing changes in either company.</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N13</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Text in a number field</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Type "abc" into a revenue cell and save.</w:t>
            </w:r>
          </w:p>
        </w:tc>
        <w:tc>
          <w:tcPr>
            <w:tcW w:type="dxa" w:w="3500"/>
            <w:shd w:fill="FFFFFF" w:val="clear"/>
            <w:tcMar>
              <w:top w:type="dxa" w:w="70"/>
              <w:left w:type="dxa" w:w="110"/>
              <w:bottom w:type="dxa" w:w="70"/>
              <w:right w:type="dxa" w:w="110"/>
            </w:tcMar>
          </w:tcPr>
          <w:p>
            <w:pPr>
              <w:spacing w:after="0"/>
            </w:pPr>
            <w:r>
              <w:rPr>
                <w:b/>
                <w:bCs/>
                <w:i w:val="false"/>
                <w:iCs w:val="false"/>
                <w:color w:val="000000"/>
                <w:sz w:val="18"/>
                <w:szCs w:val="18"/>
              </w:rPr>
              <w:t xml:space="preserve">Stored as 0 with a "Saved." message and no warning. Current behaviour — see U13.</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N14</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Unbalanced opening sheet</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Make the opening sheet out by 1,000 and open any output.</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 red banner naming the exact difference and linking to step 10; the integrity badge reads "Check failed".</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N15</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Named facilities exceed opening debt</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Enter a facility with an opening balance larger than step 10's long-term debt.</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debt check fails with a message naming the amount and both screens to fix it.</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N16</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Delete the last model</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Archive or delete models until one remains, then try to delete it.</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 company must keep at least one model." Refused.</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N17</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Remove the last administrator</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Change the only active Administrator to a different role.</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"This is the last active administrator of this company — give somebody else that role first."</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N18</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Remove the last platform administrator</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Deactivate the only platform administrator.</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"This is the last platform administrator — appoint another one first."</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N19</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Short password</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Set a password of 11 characters.</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password must be at least 12 characters." A password with a leading or trailing space is also refused.</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N20</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Duplicate business-unit name</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Enter the same unit name twice on step 1 and save.</w:t>
            </w:r>
          </w:p>
        </w:tc>
        <w:tc>
          <w:tcPr>
            <w:tcW w:type="dxa" w:w="3500"/>
            <w:shd w:fill="F7F9FC" w:val="clear"/>
            <w:tcMar>
              <w:top w:type="dxa" w:w="70"/>
              <w:left w:type="dxa" w:w="110"/>
              <w:bottom w:type="dxa" w:w="70"/>
              <w:right w:type="dxa" w:w="110"/>
            </w:tcMar>
          </w:tcPr>
          <w:p>
            <w:pPr>
              <w:spacing w:after="0"/>
            </w:pPr>
            <w:r>
              <w:rPr>
                <w:b/>
                <w:bCs/>
                <w:i w:val="false"/>
                <w:iCs w:val="false"/>
                <w:color w:val="000000"/>
                <w:sz w:val="18"/>
                <w:szCs w:val="18"/>
              </w:rPr>
              <w:t xml:space="preserve">A raw 500 error page rather than a friendly message. Current behaviour — see U14.</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N21</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Duplicate company name</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Create a company whose name differs only in case or spacing from an existing one.</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Refused, with a red flash carrying the raw database error.</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N22</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Non-image logo</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Upload a .txt file as a company logo.</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"That file is not an image."</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N23</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Oversized logo</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Upload an image over 512 KB.</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"That image is larger than 512 KB." Measured after decoding, so a ~700 KB base64 string of a 500 KB image should still pass.</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N24</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Import an unknown business unit</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Put a unit name that does not exist into the template and upload.</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That row is rejected with '"X" is not a business unit in this model'. Valid rows on other lines still import.</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N25</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Import a year outside the horizon</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Put a year outside the forecast window into a driver template.</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Rejected with "outside this model's forecast horizon". Nothing is written for it.</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N26</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Approve twice</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Approve a staged import, then approve it again.</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"Not found, or it has already been reviewed." Nothing is written a second time.</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N27</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Approve a trial balance</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Stage a trial-balance extraction and approve it.</w:t>
            </w:r>
          </w:p>
        </w:tc>
        <w:tc>
          <w:tcPr>
            <w:tcW w:type="dxa" w:w="3500"/>
            <w:shd w:fill="FFFFFF" w:val="clear"/>
            <w:tcMar>
              <w:top w:type="dxa" w:w="70"/>
              <w:left w:type="dxa" w:w="110"/>
              <w:bottom w:type="dxa" w:w="70"/>
              <w:right w:type="dxa" w:w="110"/>
            </w:tcMar>
          </w:tcPr>
          <w:p>
            <w:pPr>
              <w:spacing w:after="0"/>
            </w:pPr>
            <w:r>
              <w:rPr>
                <w:b/>
                <w:bCs/>
                <w:i w:val="false"/>
                <w:iCs w:val="false"/>
                <w:color w:val="000000"/>
                <w:sz w:val="18"/>
                <w:szCs w:val="18"/>
              </w:rPr>
              <w:t xml:space="preserve">Marked approved but NOTHING is written, with a skip reason saying the mapping must be done by hand. The success flash can read misleadingly — worth raising.</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N28</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Custom row with no name</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Open the add-row dialog and save with the name blank.</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"Give the new row a name." Nothing is saved.</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N29</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Custom row with a forged anchor</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POST a row with an anchor that is not on the allowed list.</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"Choose a total for the new row to sit above." Nothing is saved.</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N30</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Unknown URL</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Open /outputs/nonsense.</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404 "That page does not exist — Nothing is served at /outputs/nonsense."</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N31</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Unsaved changes lost</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Edit a field, then click a step chip or change a "How many" counter.</w:t>
            </w:r>
          </w:p>
        </w:tc>
        <w:tc>
          <w:tcPr>
            <w:tcW w:type="dxa" w:w="3500"/>
            <w:shd w:fill="FFFFFF" w:val="clear"/>
            <w:tcMar>
              <w:top w:type="dxa" w:w="70"/>
              <w:left w:type="dxa" w:w="110"/>
              <w:bottom w:type="dxa" w:w="70"/>
              <w:right w:type="dxa" w:w="110"/>
            </w:tcMar>
          </w:tcPr>
          <w:p>
            <w:pPr>
              <w:spacing w:after="0"/>
            </w:pPr>
            <w:r>
              <w:rPr>
                <w:b/>
                <w:bCs/>
                <w:i w:val="false"/>
                <w:iCs w:val="false"/>
                <w:color w:val="000000"/>
                <w:sz w:val="18"/>
                <w:szCs w:val="18"/>
              </w:rPr>
              <w:t xml:space="preserve">The edit is lost with no warning. Current behaviour — see U15.</w:t>
            </w:r>
          </w:p>
        </w:tc>
      </w:tr>
    </w:tbl>
    <w:p>
      <w:pPr>
        <w:spacing w:after="120"/>
      </w:pPr>
    </w:p>
    <w:p>
      <w:pPr>
        <w:pStyle w:val="Heading2"/>
        <w:spacing w:after="120" w:before="280"/>
      </w:pPr>
      <w:r>
        <w:t xml:space="preserve">6.7  Boundary test scenarios</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700"/>
        <w:gridCol w:w="2100"/>
        <w:gridCol w:w="3060"/>
        <w:gridCol w:w="3500"/>
      </w:tblGrid>
      <w:tr>
        <w:trPr>
          <w:tblHeader/>
        </w:trPr>
        <w:tc>
          <w:tcPr>
            <w:tcW w:type="dxa" w:w="700"/>
            <w:shd w:fill="1F3864" w:val="clear"/>
            <w:tcMar>
              <w:top w:type="dxa" w:w="70"/>
              <w:left w:type="dxa" w:w="110"/>
              <w:bottom w:type="dxa" w:w="70"/>
              <w:right w:type="dxa" w:w="110"/>
            </w:tcMar>
          </w:tcPr>
          <w:p>
            <w:pPr>
              <w:spacing w:after="0"/>
            </w:pPr>
            <w:r>
              <w:rPr>
                <w:b/>
                <w:bCs/>
                <w:i w:val="false"/>
                <w:iCs w:val="false"/>
                <w:color w:val="FFFFFF"/>
                <w:sz w:val="18"/>
                <w:szCs w:val="18"/>
              </w:rPr>
              <w:t xml:space="preserve">ID</w:t>
            </w:r>
          </w:p>
        </w:tc>
        <w:tc>
          <w:tcPr>
            <w:tcW w:type="dxa" w:w="2100"/>
            <w:shd w:fill="1F3864" w:val="clear"/>
            <w:tcMar>
              <w:top w:type="dxa" w:w="70"/>
              <w:left w:type="dxa" w:w="110"/>
              <w:bottom w:type="dxa" w:w="70"/>
              <w:right w:type="dxa" w:w="110"/>
            </w:tcMar>
          </w:tcPr>
          <w:p>
            <w:pPr>
              <w:spacing w:after="0"/>
            </w:pPr>
            <w:r>
              <w:rPr>
                <w:b/>
                <w:bCs/>
                <w:i w:val="false"/>
                <w:iCs w:val="false"/>
                <w:color w:val="FFFFFF"/>
                <w:sz w:val="18"/>
                <w:szCs w:val="18"/>
              </w:rPr>
              <w:t xml:space="preserve">Scenario</w:t>
            </w:r>
          </w:p>
        </w:tc>
        <w:tc>
          <w:tcPr>
            <w:tcW w:type="dxa" w:w="3060"/>
            <w:shd w:fill="1F3864" w:val="clear"/>
            <w:tcMar>
              <w:top w:type="dxa" w:w="70"/>
              <w:left w:type="dxa" w:w="110"/>
              <w:bottom w:type="dxa" w:w="70"/>
              <w:right w:type="dxa" w:w="110"/>
            </w:tcMar>
          </w:tcPr>
          <w:p>
            <w:pPr>
              <w:spacing w:after="0"/>
            </w:pPr>
            <w:r>
              <w:rPr>
                <w:b/>
                <w:bCs/>
                <w:i w:val="false"/>
                <w:iCs w:val="false"/>
                <w:color w:val="FFFFFF"/>
                <w:sz w:val="18"/>
                <w:szCs w:val="18"/>
              </w:rPr>
              <w:t xml:space="preserve">Steps</w:t>
            </w:r>
          </w:p>
        </w:tc>
        <w:tc>
          <w:tcPr>
            <w:tcW w:type="dxa" w:w="3500"/>
            <w:shd w:fill="1F3864" w:val="clear"/>
            <w:tcMar>
              <w:top w:type="dxa" w:w="70"/>
              <w:left w:type="dxa" w:w="110"/>
              <w:bottom w:type="dxa" w:w="70"/>
              <w:right w:type="dxa" w:w="110"/>
            </w:tcMar>
          </w:tcPr>
          <w:p>
            <w:pPr>
              <w:spacing w:after="0"/>
            </w:pPr>
            <w:r>
              <w:rPr>
                <w:b/>
                <w:bCs/>
                <w:i w:val="false"/>
                <w:iCs w:val="false"/>
                <w:color w:val="FFFFFF"/>
                <w:sz w:val="18"/>
                <w:szCs w:val="18"/>
              </w:rPr>
              <w:t xml:space="preserve">Expected result</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B1</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Balance-check tolerance</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Make the opening sheet out by exactly 0.50, then by 0.51.</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0.50 reports as BALANCED; 0.51 reports as out of balance. The tolerance is inclusive at 0.50.</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B2</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Row count floors and ceilings</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Set the count on each screen to 0, to 1, to the maximum, and to the maximum + 1.</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Units clamp to 1–60; levies 0–10; facilities 0–24; provisions 0–20; initiatives 0–20; assets 0–60. Values above the maximum clamp down; negatives clamp to the floor.</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B3</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Horizon limits</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Create models with 1 and 10 historical years, and 1 and 15 forecast years. Then try 0 and 11 / 16.</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Clamped server-side to 1–10 and 1–15. Every grid, every statement column and every schedule resizes to match.</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B4</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One business unit</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Build a model with exactly one unit.</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segment selector offers Total and that one unit, and the two are identical. Allocation is 100%.</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B5</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Sixty business units</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Set the unit count to 60 and name them all.</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Steps 4, 5 and 6 render 60 blocks. Check the page still loads in a reasonable time and the forms still post — step 6 becomes 60 × 3 × 5 × 5 = 4,500 fields.</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B6</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Zero growth</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Set every growth rate to 0.</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Organic revenue is flat at the last actual year in every forecast year. The growth sensitivity table is completely flat, which is correct — the delta is relative.</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B7</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Negative growth</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Set growth to −20%.</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Revenue declines and compounds downward. Fixed costs do not fall, so margins compress — this is the operating-leverage behaviour the design intends.</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B8</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Cost ratio over 100%</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Set cost of sales to 110% of revenue.</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Negative gross profit, accepted and calculated through to a loss. No dividend is paid (floored at zero profit).</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B9</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Zero revenue</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Set the last actual revenue to 0 with no initiatives.</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Every ratio with revenue in the denominator reports 0 rather than erroring. Revenue mix reports 0 for every unit. Note that npm run verify asserts the mix sums to 1 and will FAIL on such a model.</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B10</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Zero days in period</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Set days in period to 0.</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Falls back to 365 rather than dividing by zero.</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B11</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Zero useful life</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Set an asset's useful life to 0, and separately choose the "Land" class.</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 depreciation at all for that asset — no division-by-zero error. Land is correctly never depreciated.</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B12</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First-year convention at 0 and 1</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Set the convention to 0, then to 1.</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At 0, a new asset takes no charge in its year of purchase. At 1 it takes a full year. Note the preview table on step 9 always shows a half year regardless — see the step-9 warning.</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B13</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Residual at 100%</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Set an asset's residual to 100%.</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depreciable base is zero, so no charge is ever taken.</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B14</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Probability at 0 and 100</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Set a delivery probability to 0%, then to 100%.</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At 0% the initiative contributes nothing anywhere. At 100% its full entered figures flow through.</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B15</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Probability above 100</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Set a probability to 150%.</w:t>
            </w:r>
          </w:p>
        </w:tc>
        <w:tc>
          <w:tcPr>
            <w:tcW w:type="dxa" w:w="3500"/>
            <w:shd w:fill="FFFFFF" w:val="clear"/>
            <w:tcMar>
              <w:top w:type="dxa" w:w="70"/>
              <w:left w:type="dxa" w:w="110"/>
              <w:bottom w:type="dxa" w:w="70"/>
              <w:right w:type="dxa" w:w="110"/>
            </w:tcMar>
          </w:tcPr>
          <w:p>
            <w:pPr>
              <w:spacing w:after="0"/>
            </w:pPr>
            <w:r>
              <w:rPr>
                <w:b/>
                <w:bCs/>
                <w:i w:val="false"/>
                <w:iCs w:val="false"/>
                <w:color w:val="000000"/>
                <w:sz w:val="18"/>
                <w:szCs w:val="18"/>
              </w:rPr>
              <w:t xml:space="preserve">Accepted: the initiative is scaled by 1.5. Confirm whether that should be blocked — see U10.</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B16</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Minimum cash at zero</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Set minimum cash to 0.</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revolver draws only when cash would otherwise go negative, and sweeps every surplus.</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B17</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Payout plus reserve above 100%</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Set the payout ratio to 80% and the reserve to 80%.</w:t>
            </w:r>
          </w:p>
        </w:tc>
        <w:tc>
          <w:tcPr>
            <w:tcW w:type="dxa" w:w="3500"/>
            <w:shd w:fill="FFFFFF" w:val="clear"/>
            <w:tcMar>
              <w:top w:type="dxa" w:w="70"/>
              <w:left w:type="dxa" w:w="110"/>
              <w:bottom w:type="dxa" w:w="70"/>
              <w:right w:type="dxa" w:w="110"/>
            </w:tcMar>
          </w:tcPr>
          <w:p>
            <w:pPr>
              <w:spacing w:after="0"/>
            </w:pPr>
            <w:r>
              <w:rPr>
                <w:b/>
                <w:bCs/>
                <w:i w:val="false"/>
                <w:iCs w:val="false"/>
                <w:color w:val="000000"/>
                <w:sz w:val="18"/>
                <w:szCs w:val="18"/>
              </w:rPr>
              <w:t xml:space="preserve">Accepted: 160% of profit is appropriated and retained earnings fall. Confirm whether that should be blocked — see U12.</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B18</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Initiative starting in the last forecast year</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Set the start year to the final forecast year.</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It contributes only in that year. NPV, IRR and payback should all handle a single-period flow — payback in particular should report nothing.</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B19</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An initiative with no capex</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Create an initiative that only removes cost, with zero capex.</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IRR shows a dash (no sign change), profitability index shows a dash (no outlay), NPV is still computed.</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B20</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Sensitivity at delta 0</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Read the 0% row of both sensitivity tables.</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Identical to the unflexed model on the income statement and cash flow, to the cent.</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B21</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Maximum text lengths</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Enter 200 characters into a 160-character field, and 300 into a 240-character field.</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Silently truncated with no message. Reopen the page to see what was actually stored.</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B22</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Upload at the size limit</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Upload a workbook just under and just over ~10 MB encoded.</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Under: parsed and staged. Over: "That workbook is larger than an import accepts."</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B23</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Empty template upload</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Upload a template with headers but no data rows.</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file has no data rows" — nothing staged.</w:t>
            </w:r>
          </w:p>
        </w:tc>
      </w:tr>
      <w:tr>
        <w:tc>
          <w:tcPr>
            <w:tcW w:type="dxa" w:w="7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B24</w:t>
            </w:r>
          </w:p>
        </w:tc>
        <w:tc>
          <w:tcPr>
            <w:tcW w:type="dxa" w:w="21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Four models on the comparison screen</w:t>
            </w:r>
          </w:p>
        </w:tc>
        <w:tc>
          <w:tcPr>
            <w:tcW w:type="dxa" w:w="30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Select 1, 2, 4 and 5 models to compare.</w:t>
            </w:r>
          </w:p>
        </w:tc>
        <w:tc>
          <w:tcPr>
            <w:tcW w:type="dxa" w:w="3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1 falls back to the first two; 2 and 4 work; 5 is truncated to 4.</w:t>
            </w:r>
          </w:p>
        </w:tc>
      </w:tr>
      <w:tr>
        <w:tc>
          <w:tcPr>
            <w:tcW w:type="dxa" w:w="7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B25</w:t>
            </w:r>
          </w:p>
        </w:tc>
        <w:tc>
          <w:tcPr>
            <w:tcW w:type="dxa" w:w="21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Session expiry</w:t>
            </w:r>
          </w:p>
        </w:tc>
        <w:tc>
          <w:tcPr>
            <w:tcW w:type="dxa" w:w="30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Sign in, wait past the 8-hour cookie lifetime, then act.</w:t>
            </w:r>
          </w:p>
        </w:tc>
        <w:tc>
          <w:tcPr>
            <w:tcW w:type="dxa" w:w="3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Redirected to sign in. The originally requested page is remembered and returned to after signing in.</w:t>
            </w:r>
          </w:p>
        </w:tc>
      </w:tr>
    </w:tbl>
    <w:p>
      <w:pPr>
        <w:spacing w:after="120"/>
      </w:pPr>
    </w:p>
    <w:p>
      <w:pPr>
        <w:pStyle w:val="Heading2"/>
        <w:spacing w:after="120" w:before="280"/>
      </w:pPr>
      <w:r>
        <w:t xml:space="preserve">6.8  Regression suite the developers already provide</w:t>
      </w:r>
    </w:p>
    <w:p>
      <w:pPr>
        <w:spacing w:after="120"/>
      </w:pPr>
      <w:r>
        <w:rPr>
          <w:b w:val="false"/>
          <w:bCs w:val="false"/>
          <w:i w:val="false"/>
          <w:iCs w:val="false"/>
          <w:sz w:val="20"/>
          <w:szCs w:val="20"/>
        </w:rPr>
        <w:t xml:space="preserve">Run these before and after any change. They are fast and they cover the arithmetic far more thoroughly than manual testing can.</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500"/>
        <w:gridCol w:w="4400"/>
        <w:gridCol w:w="2460"/>
      </w:tblGrid>
      <w:tr>
        <w:trPr>
          <w:tblHeader/>
        </w:trPr>
        <w:tc>
          <w:tcPr>
            <w:tcW w:type="dxa" w:w="2500"/>
            <w:shd w:fill="1F3864" w:val="clear"/>
            <w:tcMar>
              <w:top w:type="dxa" w:w="70"/>
              <w:left w:type="dxa" w:w="110"/>
              <w:bottom w:type="dxa" w:w="70"/>
              <w:right w:type="dxa" w:w="110"/>
            </w:tcMar>
          </w:tcPr>
          <w:p>
            <w:pPr>
              <w:spacing w:after="0"/>
            </w:pPr>
            <w:r>
              <w:rPr>
                <w:b/>
                <w:bCs/>
                <w:i w:val="false"/>
                <w:iCs w:val="false"/>
                <w:color w:val="FFFFFF"/>
                <w:sz w:val="18"/>
                <w:szCs w:val="18"/>
              </w:rPr>
              <w:t xml:space="preserve">Command</w:t>
            </w:r>
          </w:p>
        </w:tc>
        <w:tc>
          <w:tcPr>
            <w:tcW w:type="dxa" w:w="4400"/>
            <w:shd w:fill="1F3864" w:val="clear"/>
            <w:tcMar>
              <w:top w:type="dxa" w:w="70"/>
              <w:left w:type="dxa" w:w="110"/>
              <w:bottom w:type="dxa" w:w="70"/>
              <w:right w:type="dxa" w:w="110"/>
            </w:tcMar>
          </w:tcPr>
          <w:p>
            <w:pPr>
              <w:spacing w:after="0"/>
            </w:pPr>
            <w:r>
              <w:rPr>
                <w:b/>
                <w:bCs/>
                <w:i w:val="false"/>
                <w:iCs w:val="false"/>
                <w:color w:val="FFFFFF"/>
                <w:sz w:val="18"/>
                <w:szCs w:val="18"/>
              </w:rPr>
              <w:t xml:space="preserve">What it does</w:t>
            </w:r>
          </w:p>
        </w:tc>
        <w:tc>
          <w:tcPr>
            <w:tcW w:type="dxa" w:w="2460"/>
            <w:shd w:fill="1F3864" w:val="clear"/>
            <w:tcMar>
              <w:top w:type="dxa" w:w="70"/>
              <w:left w:type="dxa" w:w="110"/>
              <w:bottom w:type="dxa" w:w="70"/>
              <w:right w:type="dxa" w:w="110"/>
            </w:tcMar>
          </w:tcPr>
          <w:p>
            <w:pPr>
              <w:spacing w:after="0"/>
            </w:pPr>
            <w:r>
              <w:rPr>
                <w:b/>
                <w:bCs/>
                <w:i w:val="false"/>
                <w:iCs w:val="false"/>
                <w:color w:val="FFFFFF"/>
                <w:sz w:val="18"/>
                <w:szCs w:val="18"/>
              </w:rPr>
              <w:t xml:space="preserve">Status at the time of writing</w:t>
            </w:r>
          </w:p>
        </w:tc>
      </w:tr>
      <w:tr>
        <w:tc>
          <w:tcPr>
            <w:tcW w:type="dxa" w:w="2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npm test</w:t>
            </w:r>
          </w:p>
        </w:tc>
        <w:tc>
          <w:tcPr>
            <w:tcW w:type="dxa" w:w="4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67 unit tests over the accounting identities, the investment maths and user-added rows.</w:t>
            </w:r>
          </w:p>
        </w:tc>
        <w:tc>
          <w:tcPr>
            <w:tcW w:type="dxa" w:w="2460"/>
            <w:shd w:fill="EAF6EC" w:val="clear"/>
            <w:tcMar>
              <w:top w:type="dxa" w:w="70"/>
              <w:left w:type="dxa" w:w="110"/>
              <w:bottom w:type="dxa" w:w="70"/>
              <w:right w:type="dxa" w:w="110"/>
            </w:tcMar>
          </w:tcPr>
          <w:p>
            <w:pPr>
              <w:spacing w:after="0"/>
            </w:pPr>
            <w:r>
              <w:rPr>
                <w:b w:val="false"/>
                <w:bCs w:val="false"/>
                <w:i w:val="false"/>
                <w:iCs w:val="false"/>
                <w:color w:val="000000"/>
                <w:sz w:val="18"/>
                <w:szCs w:val="18"/>
              </w:rPr>
              <w:t xml:space="preserve">67 pass, 0 fail</w:t>
            </w:r>
          </w:p>
        </w:tc>
      </w:tr>
      <w:tr>
        <w:tc>
          <w:tcPr>
            <w:tcW w:type="dxa" w:w="2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node scripts/audit-formulas.js</w:t>
            </w:r>
          </w:p>
        </w:tc>
        <w:tc>
          <w:tcPr>
            <w:tcW w:type="dxa" w:w="4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Recomputes every ratio from its definition.</w:t>
            </w:r>
          </w:p>
        </w:tc>
        <w:tc>
          <w:tcPr>
            <w:tcW w:type="dxa" w:w="2460"/>
            <w:shd w:fill="EAF6EC" w:val="clear"/>
            <w:tcMar>
              <w:top w:type="dxa" w:w="70"/>
              <w:left w:type="dxa" w:w="110"/>
              <w:bottom w:type="dxa" w:w="70"/>
              <w:right w:type="dxa" w:w="110"/>
            </w:tcMar>
          </w:tcPr>
          <w:p>
            <w:pPr>
              <w:spacing w:after="0"/>
            </w:pPr>
            <w:r>
              <w:rPr>
                <w:b w:val="false"/>
                <w:bCs w:val="false"/>
                <w:i w:val="false"/>
                <w:iCs w:val="false"/>
                <w:color w:val="000000"/>
                <w:sz w:val="18"/>
                <w:szCs w:val="18"/>
              </w:rPr>
              <w:t xml:space="preserve">316 formulas checked, 0 disagreements</w:t>
            </w:r>
          </w:p>
        </w:tc>
      </w:tr>
      <w:tr>
        <w:tc>
          <w:tcPr>
            <w:tcW w:type="dxa" w:w="2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node scripts/sme-audit.js</w:t>
            </w:r>
          </w:p>
        </w:tc>
        <w:tc>
          <w:tcPr>
            <w:tcW w:type="dxa" w:w="4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Builds a model, recomputes it independently and asserts all the identities.</w:t>
            </w:r>
          </w:p>
        </w:tc>
        <w:tc>
          <w:tcPr>
            <w:tcW w:type="dxa" w:w="2460"/>
            <w:shd w:fill="EAF6EC" w:val="clear"/>
            <w:tcMar>
              <w:top w:type="dxa" w:w="70"/>
              <w:left w:type="dxa" w:w="110"/>
              <w:bottom w:type="dxa" w:w="70"/>
              <w:right w:type="dxa" w:w="110"/>
            </w:tcMar>
          </w:tcPr>
          <w:p>
            <w:pPr>
              <w:spacing w:after="0"/>
            </w:pPr>
            <w:r>
              <w:rPr>
                <w:b w:val="false"/>
                <w:bCs w:val="false"/>
                <w:i w:val="false"/>
                <w:iCs w:val="false"/>
                <w:color w:val="000000"/>
                <w:sz w:val="18"/>
                <w:szCs w:val="18"/>
              </w:rPr>
              <w:t xml:space="preserve">All checks pass</w:t>
            </w:r>
          </w:p>
        </w:tc>
      </w:tr>
      <w:tr>
        <w:tc>
          <w:tcPr>
            <w:tcW w:type="dxa" w:w="2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node scripts/audit-guards.js</w:t>
            </w:r>
          </w:p>
        </w:tc>
        <w:tc>
          <w:tcPr>
            <w:tcW w:type="dxa" w:w="4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Checks every write route is permission-guarded.</w:t>
            </w:r>
          </w:p>
        </w:tc>
        <w:tc>
          <w:tcPr>
            <w:tcW w:type="dxa" w:w="2460"/>
            <w:shd w:fill="EAF6EC" w:val="clear"/>
            <w:tcMar>
              <w:top w:type="dxa" w:w="70"/>
              <w:left w:type="dxa" w:w="110"/>
              <w:bottom w:type="dxa" w:w="70"/>
              <w:right w:type="dxa" w:w="110"/>
            </w:tcMar>
          </w:tcPr>
          <w:p>
            <w:pPr>
              <w:spacing w:after="0"/>
            </w:pPr>
            <w:r>
              <w:rPr>
                <w:b w:val="false"/>
                <w:bCs w:val="false"/>
                <w:i w:val="false"/>
                <w:iCs w:val="false"/>
                <w:color w:val="000000"/>
                <w:sz w:val="18"/>
                <w:szCs w:val="18"/>
              </w:rPr>
              <w:t xml:space="preserve">All 40 write routes guarded</w:t>
            </w:r>
          </w:p>
        </w:tc>
      </w:tr>
      <w:tr>
        <w:tc>
          <w:tcPr>
            <w:tcW w:type="dxa" w:w="2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node scripts/audit-i18n.js</w:t>
            </w:r>
          </w:p>
        </w:tc>
        <w:tc>
          <w:tcPr>
            <w:tcW w:type="dxa" w:w="4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Checks every interface string has an Arabic entry.</w:t>
            </w:r>
          </w:p>
        </w:tc>
        <w:tc>
          <w:tcPr>
            <w:tcW w:type="dxa" w:w="2460"/>
            <w:shd w:fill="EAF6EC" w:val="clear"/>
            <w:tcMar>
              <w:top w:type="dxa" w:w="70"/>
              <w:left w:type="dxa" w:w="110"/>
              <w:bottom w:type="dxa" w:w="70"/>
              <w:right w:type="dxa" w:w="110"/>
            </w:tcMar>
          </w:tcPr>
          <w:p>
            <w:pPr>
              <w:spacing w:after="0"/>
            </w:pPr>
            <w:r>
              <w:rPr>
                <w:b w:val="false"/>
                <w:bCs w:val="false"/>
                <w:i w:val="false"/>
                <w:iCs w:val="false"/>
                <w:color w:val="000000"/>
                <w:sz w:val="18"/>
                <w:szCs w:val="18"/>
              </w:rPr>
              <w:t xml:space="preserve">985 strings, all present</w:t>
            </w:r>
          </w:p>
        </w:tc>
      </w:tr>
      <w:tr>
        <w:tc>
          <w:tcPr>
            <w:tcW w:type="dxa" w:w="2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node scripts/audit-templates.js</w:t>
            </w:r>
          </w:p>
        </w:tc>
        <w:tc>
          <w:tcPr>
            <w:tcW w:type="dxa" w:w="4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Checks for prose written outside the translator.</w:t>
            </w:r>
          </w:p>
        </w:tc>
        <w:tc>
          <w:tcPr>
            <w:tcW w:type="dxa" w:w="2460"/>
            <w:shd w:fill="EAF6EC" w:val="clear"/>
            <w:tcMar>
              <w:top w:type="dxa" w:w="70"/>
              <w:left w:type="dxa" w:w="110"/>
              <w:bottom w:type="dxa" w:w="70"/>
              <w:right w:type="dxa" w:w="110"/>
            </w:tcMar>
          </w:tcPr>
          <w:p>
            <w:pPr>
              <w:spacing w:after="0"/>
            </w:pPr>
            <w:r>
              <w:rPr>
                <w:b w:val="false"/>
                <w:bCs w:val="false"/>
                <w:i w:val="false"/>
                <w:iCs w:val="false"/>
                <w:color w:val="000000"/>
                <w:sz w:val="18"/>
                <w:szCs w:val="18"/>
              </w:rPr>
              <w:t xml:space="preserve">Clean</w:t>
            </w:r>
          </w:p>
        </w:tc>
      </w:tr>
      <w:tr>
        <w:tc>
          <w:tcPr>
            <w:tcW w:type="dxa" w:w="2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node scripts/audit-arabic.js</w:t>
            </w:r>
          </w:p>
        </w:tc>
        <w:tc>
          <w:tcPr>
            <w:tcW w:type="dxa" w:w="4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Renders every screen in Arabic and looks for untranslated phrases.</w:t>
            </w:r>
          </w:p>
        </w:tc>
        <w:tc>
          <w:tcPr>
            <w:tcW w:type="dxa" w:w="2460"/>
            <w:shd w:fill="FFF4E0" w:val="clear"/>
            <w:tcMar>
              <w:top w:type="dxa" w:w="70"/>
              <w:left w:type="dxa" w:w="110"/>
              <w:bottom w:type="dxa" w:w="70"/>
              <w:right w:type="dxa" w:w="110"/>
            </w:tcMar>
          </w:tcPr>
          <w:p>
            <w:pPr>
              <w:spacing w:after="0"/>
            </w:pPr>
            <w:r>
              <w:rPr>
                <w:b w:val="false"/>
                <w:bCs w:val="false"/>
                <w:i w:val="false"/>
                <w:iCs w:val="false"/>
                <w:color w:val="000000"/>
                <w:sz w:val="18"/>
                <w:szCs w:val="18"/>
              </w:rPr>
              <w:t xml:space="preserve">1 phrase — "Business unit" on /data</w:t>
            </w:r>
          </w:p>
        </w:tc>
      </w:tr>
      <w:tr>
        <w:tc>
          <w:tcPr>
            <w:tcW w:type="dxa" w:w="25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node scripts/audit-routes.js</w:t>
            </w:r>
          </w:p>
        </w:tc>
        <w:tc>
          <w:tcPr>
            <w:tcW w:type="dxa" w:w="44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Lists routes no template links to.</w:t>
            </w:r>
          </w:p>
        </w:tc>
        <w:tc>
          <w:tcPr>
            <w:tcW w:type="dxa" w:w="2460"/>
            <w:shd w:fill="FFF4E0" w:val="clear"/>
            <w:tcMar>
              <w:top w:type="dxa" w:w="70"/>
              <w:left w:type="dxa" w:w="110"/>
              <w:bottom w:type="dxa" w:w="70"/>
              <w:right w:type="dxa" w:w="110"/>
            </w:tcMar>
          </w:tcPr>
          <w:p>
            <w:pPr>
              <w:spacing w:after="0"/>
            </w:pPr>
            <w:r>
              <w:rPr>
                <w:b w:val="false"/>
                <w:bCs w:val="false"/>
                <w:i w:val="false"/>
                <w:iCs w:val="false"/>
                <w:color w:val="000000"/>
                <w:sz w:val="18"/>
                <w:szCs w:val="18"/>
              </w:rPr>
              <w:t xml:space="preserve">3 (two redirect stubs and /health) — informational</w:t>
            </w:r>
          </w:p>
        </w:tc>
      </w:tr>
      <w:tr>
        <w:tc>
          <w:tcPr>
            <w:tcW w:type="dxa" w:w="25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npm run verify</w:t>
            </w:r>
          </w:p>
        </w:tc>
        <w:tc>
          <w:tcPr>
            <w:tcW w:type="dxa" w:w="44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Recomputes the whole model from the database with separately written arithmetic and compares line by line.</w:t>
            </w:r>
          </w:p>
        </w:tc>
        <w:tc>
          <w:tcPr>
            <w:tcW w:type="dxa" w:w="2460"/>
            <w:shd w:fill="FFF4E0" w:val="clear"/>
            <w:tcMar>
              <w:top w:type="dxa" w:w="70"/>
              <w:left w:type="dxa" w:w="110"/>
              <w:bottom w:type="dxa" w:w="70"/>
              <w:right w:type="dxa" w:w="110"/>
            </w:tcMar>
          </w:tcPr>
          <w:p>
            <w:pPr>
              <w:spacing w:after="0"/>
            </w:pPr>
            <w:r>
              <w:rPr>
                <w:b w:val="false"/>
                <w:bCs w:val="false"/>
                <w:i w:val="false"/>
                <w:iCs w:val="false"/>
                <w:color w:val="000000"/>
                <w:sz w:val="18"/>
                <w:szCs w:val="18"/>
              </w:rPr>
              <w:t xml:space="preserve">See the note below</w:t>
            </w:r>
          </w:p>
        </w:tc>
      </w:tr>
    </w:tbl>
    <w:p>
      <w:pPr>
        <w:spacing w:after="80"/>
      </w:pPr>
    </w:p>
    <w:tbl>
      <w:tblPr>
        <w:tblW w:type="dxa" w:w="9360"/>
        <w:tblBorders>
          <w:top w:val="single" w:color="D5DEE8" w:sz="2"/>
          <w:left w:val="single" w:color="D48806" w:sz="12"/>
          <w:bottom w:val="single" w:color="D5DEE8" w:sz="2"/>
          <w:right w:val="single" w:color="D5DEE8" w:sz="2"/>
          <w:insideH w:val="none"/>
          <w:insideV w:val="none"/>
        </w:tblBorders>
      </w:tblPr>
      <w:tblGrid>
        <w:gridCol w:w="9360"/>
      </w:tblGrid>
      <w:tr>
        <w:tc>
          <w:tcPr>
            <w:tcW w:type="dxa" w:w="9360"/>
            <w:shd w:fill="FFF4E0" w:val="clear"/>
            <w:tcMar>
              <w:top w:type="dxa" w:w="120"/>
              <w:left w:type="dxa" w:w="180"/>
              <w:bottom w:type="dxa" w:w="120"/>
              <w:right w:type="dxa" w:w="180"/>
            </w:tcMar>
          </w:tcPr>
          <w:p>
            <w:pPr>
              <w:spacing w:after="60"/>
            </w:pPr>
            <w:r>
              <w:rPr>
                <w:b/>
                <w:bCs/>
                <w:color w:val="1F3864"/>
                <w:sz w:val="20"/>
                <w:szCs w:val="20"/>
              </w:rPr>
              <w:t xml:space="preserve">Two limitations of npm run verify</w:t>
            </w:r>
          </w:p>
          <w:p>
            <w:pPr>
              <w:spacing w:after="60"/>
            </w:pPr>
            <w:r>
              <w:rPr>
                <w:sz w:val="19"/>
                <w:szCs w:val="19"/>
              </w:rPr>
              <w:t xml:space="preserve">It only ever checks the company's FIRST model (lowest id, not archived). The other four seeded models are never verified by it. A defect that only affects a later model will not be caught.</w:t>
            </w:r>
          </w:p>
          <w:p>
            <w:pPr>
              <w:spacing w:after="0"/>
            </w:pPr>
            <w:r>
              <w:rPr>
                <w:sz w:val="19"/>
                <w:szCs w:val="19"/>
              </w:rPr>
              <w:t xml:space="preserve">It asserts unconditionally that the revenue mix sums to exactly 1. On a model with zero total forecast revenue the mix is legitimately 0, so verify reports a disagreement that is not a real defect. Check what the first model actually contains before treating a verify failure as a bug.</w:t>
            </w:r>
          </w:p>
        </w:tc>
      </w:tr>
    </w:tbl>
    <w:p>
      <w:r>
        <w:br w:type="page"/>
      </w:r>
    </w:p>
    <w:p>
      <w:pPr>
        <w:pStyle w:val="Heading1"/>
        <w:spacing w:after="160" w:before="360"/>
      </w:pPr>
      <w:r>
        <w:t xml:space="preserve">7. Missing or Unclear Requirements</w:t>
      </w:r>
    </w:p>
    <w:tbl>
      <w:tblPr>
        <w:tblW w:type="dxa" w:w="9360"/>
        <w:tblBorders>
          <w:top w:val="single" w:color="D5DEE8" w:sz="2"/>
          <w:left w:val="single" w:color="2E5C8A" w:sz="12"/>
          <w:bottom w:val="single" w:color="D5DEE8" w:sz="2"/>
          <w:right w:val="single" w:color="D5DEE8" w:sz="2"/>
          <w:insideH w:val="none"/>
          <w:insideV w:val="none"/>
        </w:tblBorders>
      </w:tblPr>
      <w:tblGrid>
        <w:gridCol w:w="9360"/>
      </w:tblGrid>
      <w:tr>
        <w:tc>
          <w:tcPr>
            <w:tcW w:type="dxa" w:w="9360"/>
            <w:shd w:fill="EDF2F8" w:val="clear"/>
            <w:tcMar>
              <w:top w:type="dxa" w:w="120"/>
              <w:left w:type="dxa" w:w="180"/>
              <w:bottom w:type="dxa" w:w="120"/>
              <w:right w:type="dxa" w:w="180"/>
            </w:tcMar>
          </w:tcPr>
          <w:p>
            <w:pPr>
              <w:spacing w:after="60"/>
            </w:pPr>
            <w:r>
              <w:rPr>
                <w:b/>
                <w:bCs/>
                <w:color w:val="1F3864"/>
                <w:sz w:val="20"/>
                <w:szCs w:val="20"/>
              </w:rPr>
              <w:t xml:space="preserve">How this section is organised — and what it is not</w:t>
            </w:r>
          </w:p>
          <w:p>
            <w:pPr>
              <w:spacing w:after="60"/>
            </w:pPr>
            <w:r>
              <w:rPr>
                <w:sz w:val="19"/>
                <w:szCs w:val="19"/>
              </w:rPr>
              <w:t xml:space="preserve">Nothing here is a guess. Every entry states what the code actually does, verified against the running system where possible, and then separates that from what could not be determined.</w:t>
            </w:r>
          </w:p>
          <w:p>
            <w:pPr>
              <w:spacing w:after="60"/>
            </w:pPr>
            <w:r>
              <w:rPr>
                <w:sz w:val="19"/>
                <w:szCs w:val="19"/>
              </w:rPr>
              <w:t xml:space="preserve">7.1 Confirmed defects — the behaviour is wrong, or two parts of the system contradict each other. Raise these as bugs.</w:t>
            </w:r>
          </w:p>
          <w:p>
            <w:pPr>
              <w:spacing w:after="60"/>
            </w:pPr>
            <w:r>
              <w:rPr>
                <w:sz w:val="19"/>
                <w:szCs w:val="19"/>
              </w:rPr>
              <w:t xml:space="preserve">7.2 Behaviour requiring business confirmation — the code is unambiguous, but whether it is the INTENDED rule cannot be established from the project. Do not write a pass/fail test until someone confirms the rule.</w:t>
            </w:r>
          </w:p>
          <w:p>
            <w:pPr>
              <w:spacing w:after="60"/>
            </w:pPr>
            <w:r>
              <w:rPr>
                <w:sz w:val="19"/>
                <w:szCs w:val="19"/>
              </w:rPr>
              <w:t xml:space="preserve">7.3 Missing or undefined requirements — capabilities that are absent, or half-present, with no statement anywhere of what was intended.</w:t>
            </w:r>
          </w:p>
          <w:p>
            <w:pPr>
              <w:spacing w:after="0"/>
            </w:pPr>
            <w:r>
              <w:rPr>
                <w:sz w:val="19"/>
                <w:szCs w:val="19"/>
              </w:rPr>
              <w:t xml:space="preserve">7.4 What could not be tested in preparing this document.</w:t>
            </w:r>
          </w:p>
        </w:tc>
      </w:tr>
    </w:tbl>
    <w:p>
      <w:pPr>
        <w:spacing w:after="120"/>
      </w:pPr>
    </w:p>
    <w:p>
      <w:pPr>
        <w:pStyle w:val="Heading2"/>
        <w:spacing w:after="120" w:before="280"/>
      </w:pPr>
      <w:r>
        <w:t xml:space="preserve">7.1  Confirmed defects</w:t>
      </w:r>
    </w:p>
    <w:p>
      <w:pPr>
        <w:spacing w:after="120"/>
      </w:pPr>
      <w:r>
        <w:rPr>
          <w:b w:val="false"/>
          <w:bCs w:val="false"/>
          <w:i w:val="false"/>
          <w:iCs w:val="false"/>
          <w:sz w:val="20"/>
          <w:szCs w:val="20"/>
        </w:rPr>
        <w:t xml:space="preserve">Each of these was reproduced against the running application or proved from the code. They are stated as findings, not opinions.</w:t>
      </w:r>
    </w:p>
    <w:p>
      <w:pPr>
        <w:pStyle w:val="Heading3"/>
        <w:spacing w:after="100" w:before="220"/>
      </w:pPr>
      <w:r>
        <w:t xml:space="preserve">D1  —  Model settings can never be saved — every attempt returns a server error</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100"/>
        <w:gridCol w:w="7260"/>
      </w:tblGrid>
      <w:tr>
        <w:tc>
          <w:tcPr>
            <w:tcW w:type="dxa" w:w="2100"/>
            <w:shd w:fill="FDECEC" w:val="clear"/>
            <w:tcMar>
              <w:top w:type="dxa" w:w="70"/>
              <w:left w:type="dxa" w:w="110"/>
              <w:bottom w:type="dxa" w:w="70"/>
              <w:right w:type="dxa" w:w="110"/>
            </w:tcMar>
          </w:tcPr>
          <w:p>
            <w:pPr>
              <w:spacing w:after="0"/>
            </w:pPr>
            <w:r>
              <w:rPr>
                <w:b/>
                <w:bCs/>
                <w:i w:val="false"/>
                <w:iCs w:val="false"/>
                <w:color w:val="000000"/>
                <w:sz w:val="18"/>
                <w:szCs w:val="18"/>
              </w:rPr>
              <w:t xml:space="preserve">Severity</w:t>
            </w:r>
          </w:p>
        </w:tc>
        <w:tc>
          <w:tcPr>
            <w:tcW w:type="dxa" w:w="7260"/>
            <w:shd w:fill="FFFFFF" w:val="clear"/>
            <w:tcMar>
              <w:top w:type="dxa" w:w="70"/>
              <w:left w:type="dxa" w:w="110"/>
              <w:bottom w:type="dxa" w:w="70"/>
              <w:right w:type="dxa" w:w="110"/>
            </w:tcMar>
          </w:tcPr>
          <w:p>
            <w:pPr>
              <w:spacing w:after="0"/>
            </w:pPr>
            <w:r>
              <w:rPr>
                <w:b/>
                <w:bCs/>
                <w:i w:val="false"/>
                <w:iCs w:val="false"/>
                <w:color w:val="000000"/>
                <w:sz w:val="18"/>
                <w:szCs w:val="18"/>
              </w:rPr>
              <w:t xml:space="preserve">High — a whole page of the product is unusable</w:t>
            </w:r>
          </w:p>
        </w:tc>
      </w:tr>
      <w:tr>
        <w:tc>
          <w:tcPr>
            <w:tcW w:type="dxa" w:w="2100"/>
            <w:shd w:fill="F7F9FC" w:val="clear"/>
            <w:tcMar>
              <w:top w:type="dxa" w:w="70"/>
              <w:left w:type="dxa" w:w="110"/>
              <w:bottom w:type="dxa" w:w="70"/>
              <w:right w:type="dxa" w:w="110"/>
            </w:tcMar>
          </w:tcPr>
          <w:p>
            <w:pPr>
              <w:spacing w:after="0"/>
            </w:pPr>
            <w:r>
              <w:rPr>
                <w:b/>
                <w:bCs/>
                <w:i w:val="false"/>
                <w:iCs w:val="false"/>
                <w:color w:val="000000"/>
                <w:sz w:val="18"/>
                <w:szCs w:val="18"/>
              </w:rPr>
              <w:t xml:space="preserve">Where</w:t>
            </w:r>
          </w:p>
        </w:tc>
        <w:tc>
          <w:tcPr>
            <w:tcW w:type="dxa" w:w="7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/models/:id/settings  ·  app/db/repository.js line 344</w:t>
            </w:r>
          </w:p>
        </w:tc>
      </w:tr>
      <w:tr>
        <w:tc>
          <w:tcPr>
            <w:tcW w:type="dxa" w:w="2100"/>
            <w:shd w:fill="FFFFFF" w:val="clear"/>
            <w:tcMar>
              <w:top w:type="dxa" w:w="70"/>
              <w:left w:type="dxa" w:w="110"/>
              <w:bottom w:type="dxa" w:w="70"/>
              <w:right w:type="dxa" w:w="110"/>
            </w:tcMar>
          </w:tcPr>
          <w:p>
            <w:pPr>
              <w:spacing w:after="0"/>
            </w:pPr>
            <w:r>
              <w:rPr>
                <w:b/>
                <w:bCs/>
                <w:i w:val="false"/>
                <w:iCs w:val="false"/>
                <w:color w:val="000000"/>
                <w:sz w:val="18"/>
                <w:szCs w:val="18"/>
              </w:rPr>
              <w:t xml:space="preserve">What happens</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Saving anything on the Model settings page returns the "Something went wrong" error page. The save routine deletes rows from a table called driver_years, which does not exist — the drivers table is named "drivers". Verified directly: the database returns ER_NO_SUCH_TABLE for alrajhi_v25.driver_years.</w:t>
            </w:r>
          </w:p>
        </w:tc>
      </w:tr>
      <w:tr>
        <w:tc>
          <w:tcPr>
            <w:tcW w:type="dxa" w:w="2100"/>
            <w:shd w:fill="F7F9FC" w:val="clear"/>
            <w:tcMar>
              <w:top w:type="dxa" w:w="70"/>
              <w:left w:type="dxa" w:w="110"/>
              <w:bottom w:type="dxa" w:w="70"/>
              <w:right w:type="dxa" w:w="110"/>
            </w:tcMar>
          </w:tcPr>
          <w:p>
            <w:pPr>
              <w:spacing w:after="0"/>
            </w:pPr>
            <w:r>
              <w:rPr>
                <w:b/>
                <w:bCs/>
                <w:i w:val="false"/>
                <w:iCs w:val="false"/>
                <w:color w:val="000000"/>
                <w:sz w:val="18"/>
                <w:szCs w:val="18"/>
              </w:rPr>
              <w:t xml:space="preserve">Effect</w:t>
            </w:r>
          </w:p>
        </w:tc>
        <w:tc>
          <w:tcPr>
            <w:tcW w:type="dxa" w:w="7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 model's name, currency, description, first forecast year, historical-year count and forecast-year count can never be changed after creation. The only route to a different horizon is to create a new model and re-enter everything.</w:t>
            </w:r>
          </w:p>
        </w:tc>
      </w:tr>
      <w:tr>
        <w:tc>
          <w:tcPr>
            <w:tcW w:type="dxa" w:w="2100"/>
            <w:shd w:fill="FFFFFF" w:val="clear"/>
            <w:tcMar>
              <w:top w:type="dxa" w:w="70"/>
              <w:left w:type="dxa" w:w="110"/>
              <w:bottom w:type="dxa" w:w="70"/>
              <w:right w:type="dxa" w:w="110"/>
            </w:tcMar>
          </w:tcPr>
          <w:p>
            <w:pPr>
              <w:spacing w:after="0"/>
            </w:pPr>
            <w:r>
              <w:rPr>
                <w:b/>
                <w:bCs/>
                <w:i w:val="false"/>
                <w:iCs w:val="false"/>
                <w:color w:val="000000"/>
                <w:sz w:val="18"/>
                <w:szCs w:val="18"/>
              </w:rPr>
              <w:t xml:space="preserve">Confirmed or inferred</w:t>
            </w:r>
          </w:p>
        </w:tc>
        <w:tc>
          <w:tcPr>
            <w:tcW w:type="dxa" w:w="7260"/>
            <w:shd w:fill="FFFFFF" w:val="clear"/>
            <w:tcMar>
              <w:top w:type="dxa" w:w="70"/>
              <w:left w:type="dxa" w:w="110"/>
              <w:bottom w:type="dxa" w:w="70"/>
              <w:right w:type="dxa" w:w="110"/>
            </w:tcMar>
          </w:tcPr>
          <w:p>
            <w:pPr>
              <w:spacing w:after="0"/>
            </w:pPr>
            <w:r>
              <w:rPr>
                <w:b/>
                <w:bCs/>
                <w:i w:val="false"/>
                <w:iCs w:val="false"/>
                <w:color w:val="000000"/>
                <w:sz w:val="18"/>
                <w:szCs w:val="18"/>
              </w:rPr>
              <w:t xml:space="preserve">CONFIRMED — reproduced on the running system.</w:t>
            </w:r>
          </w:p>
        </w:tc>
      </w:tr>
    </w:tbl>
    <w:p>
      <w:pPr>
        <w:spacing w:after="120"/>
      </w:pPr>
    </w:p>
    <w:p>
      <w:pPr>
        <w:pStyle w:val="Heading3"/>
        <w:spacing w:after="100" w:before="220"/>
      </w:pPr>
      <w:r>
        <w:t xml:space="preserve">D2  —  Model close / reopen depends on database columns that the schema does not create</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100"/>
        <w:gridCol w:w="7260"/>
      </w:tblGrid>
      <w:tr>
        <w:tc>
          <w:tcPr>
            <w:tcW w:type="dxa" w:w="2100"/>
            <w:shd w:fill="FDECEC" w:val="clear"/>
            <w:tcMar>
              <w:top w:type="dxa" w:w="70"/>
              <w:left w:type="dxa" w:w="110"/>
              <w:bottom w:type="dxa" w:w="70"/>
              <w:right w:type="dxa" w:w="110"/>
            </w:tcMar>
          </w:tcPr>
          <w:p>
            <w:pPr>
              <w:spacing w:after="0"/>
            </w:pPr>
            <w:r>
              <w:rPr>
                <w:b/>
                <w:bCs/>
                <w:i w:val="false"/>
                <w:iCs w:val="false"/>
                <w:color w:val="000000"/>
                <w:sz w:val="18"/>
                <w:szCs w:val="18"/>
              </w:rPr>
              <w:t xml:space="preserve">Severity</w:t>
            </w:r>
          </w:p>
        </w:tc>
        <w:tc>
          <w:tcPr>
            <w:tcW w:type="dxa" w:w="7260"/>
            <w:shd w:fill="FFFFFF" w:val="clear"/>
            <w:tcMar>
              <w:top w:type="dxa" w:w="70"/>
              <w:left w:type="dxa" w:w="110"/>
              <w:bottom w:type="dxa" w:w="70"/>
              <w:right w:type="dxa" w:w="110"/>
            </w:tcMar>
          </w:tcPr>
          <w:p>
            <w:pPr>
              <w:spacing w:after="0"/>
            </w:pPr>
            <w:r>
              <w:rPr>
                <w:b/>
                <w:bCs/>
                <w:i w:val="false"/>
                <w:iCs w:val="false"/>
                <w:color w:val="000000"/>
                <w:sz w:val="18"/>
                <w:szCs w:val="18"/>
              </w:rPr>
              <w:t xml:space="preserve">High — environment-dependent, and silent</w:t>
            </w:r>
          </w:p>
        </w:tc>
      </w:tr>
      <w:tr>
        <w:tc>
          <w:tcPr>
            <w:tcW w:type="dxa" w:w="2100"/>
            <w:shd w:fill="F7F9FC" w:val="clear"/>
            <w:tcMar>
              <w:top w:type="dxa" w:w="70"/>
              <w:left w:type="dxa" w:w="110"/>
              <w:bottom w:type="dxa" w:w="70"/>
              <w:right w:type="dxa" w:w="110"/>
            </w:tcMar>
          </w:tcPr>
          <w:p>
            <w:pPr>
              <w:spacing w:after="0"/>
            </w:pPr>
            <w:r>
              <w:rPr>
                <w:b/>
                <w:bCs/>
                <w:i w:val="false"/>
                <w:iCs w:val="false"/>
                <w:color w:val="000000"/>
                <w:sz w:val="18"/>
                <w:szCs w:val="18"/>
              </w:rPr>
              <w:t xml:space="preserve">Where</w:t>
            </w:r>
          </w:p>
        </w:tc>
        <w:tc>
          <w:tcPr>
            <w:tcW w:type="dxa" w:w="7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app/db/schema.sql  vs  app/db/repository.js setProjectLocked</w:t>
            </w:r>
          </w:p>
        </w:tc>
      </w:tr>
      <w:tr>
        <w:tc>
          <w:tcPr>
            <w:tcW w:type="dxa" w:w="2100"/>
            <w:shd w:fill="FFFFFF" w:val="clear"/>
            <w:tcMar>
              <w:top w:type="dxa" w:w="70"/>
              <w:left w:type="dxa" w:w="110"/>
              <w:bottom w:type="dxa" w:w="70"/>
              <w:right w:type="dxa" w:w="110"/>
            </w:tcMar>
          </w:tcPr>
          <w:p>
            <w:pPr>
              <w:spacing w:after="0"/>
            </w:pPr>
            <w:r>
              <w:rPr>
                <w:b/>
                <w:bCs/>
                <w:i w:val="false"/>
                <w:iCs w:val="false"/>
                <w:color w:val="000000"/>
                <w:sz w:val="18"/>
                <w:szCs w:val="18"/>
              </w:rPr>
              <w:t xml:space="preserve">What happens</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lock feature reads and writes projects.is_locked, locked_at, locked_by and locked_note. None of those four columns is defined in schema.sql. The database currently in use HAS them, so they were added outside the schema file at some point.</w:t>
            </w:r>
          </w:p>
        </w:tc>
      </w:tr>
      <w:tr>
        <w:tc>
          <w:tcPr>
            <w:tcW w:type="dxa" w:w="2100"/>
            <w:shd w:fill="F7F9FC" w:val="clear"/>
            <w:tcMar>
              <w:top w:type="dxa" w:w="70"/>
              <w:left w:type="dxa" w:w="110"/>
              <w:bottom w:type="dxa" w:w="70"/>
              <w:right w:type="dxa" w:w="110"/>
            </w:tcMar>
          </w:tcPr>
          <w:p>
            <w:pPr>
              <w:spacing w:after="0"/>
            </w:pPr>
            <w:r>
              <w:rPr>
                <w:b/>
                <w:bCs/>
                <w:i w:val="false"/>
                <w:iCs w:val="false"/>
                <w:color w:val="000000"/>
                <w:sz w:val="18"/>
                <w:szCs w:val="18"/>
              </w:rPr>
              <w:t xml:space="preserve">Effect</w:t>
            </w:r>
          </w:p>
        </w:tc>
        <w:tc>
          <w:tcPr>
            <w:tcW w:type="dxa" w:w="7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On the current database the feature works. On any database built freshly from schema.sql — which is what npm run db:install does — closing a model raises a SQL error, and because is_locked is then undefined, the lock silently never applies: a "closed" model would still accept every edit.</w:t>
            </w:r>
          </w:p>
        </w:tc>
      </w:tr>
      <w:tr>
        <w:tc>
          <w:tcPr>
            <w:tcW w:type="dxa" w:w="2100"/>
            <w:shd w:fill="FFFFFF" w:val="clear"/>
            <w:tcMar>
              <w:top w:type="dxa" w:w="70"/>
              <w:left w:type="dxa" w:w="110"/>
              <w:bottom w:type="dxa" w:w="70"/>
              <w:right w:type="dxa" w:w="110"/>
            </w:tcMar>
          </w:tcPr>
          <w:p>
            <w:pPr>
              <w:spacing w:after="0"/>
            </w:pPr>
            <w:r>
              <w:rPr>
                <w:b/>
                <w:bCs/>
                <w:i w:val="false"/>
                <w:iCs w:val="false"/>
                <w:color w:val="000000"/>
                <w:sz w:val="18"/>
                <w:szCs w:val="18"/>
              </w:rPr>
              <w:t xml:space="preserve">Test impact</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lock test can pass on one environment and fail on another for reasons that have nothing to do with the code under test. Establish which database state you are on before writing lock cases.</w:t>
            </w:r>
          </w:p>
        </w:tc>
      </w:tr>
      <w:tr>
        <w:tc>
          <w:tcPr>
            <w:tcW w:type="dxa" w:w="2100"/>
            <w:shd w:fill="F7F9FC" w:val="clear"/>
            <w:tcMar>
              <w:top w:type="dxa" w:w="70"/>
              <w:left w:type="dxa" w:w="110"/>
              <w:bottom w:type="dxa" w:w="70"/>
              <w:right w:type="dxa" w:w="110"/>
            </w:tcMar>
          </w:tcPr>
          <w:p>
            <w:pPr>
              <w:spacing w:after="0"/>
            </w:pPr>
            <w:r>
              <w:rPr>
                <w:b/>
                <w:bCs/>
                <w:i w:val="false"/>
                <w:iCs w:val="false"/>
                <w:color w:val="000000"/>
                <w:sz w:val="18"/>
                <w:szCs w:val="18"/>
              </w:rPr>
              <w:t xml:space="preserve">Confirmed or inferred</w:t>
            </w:r>
          </w:p>
        </w:tc>
        <w:tc>
          <w:tcPr>
            <w:tcW w:type="dxa" w:w="7260"/>
            <w:shd w:fill="F7F9FC" w:val="clear"/>
            <w:tcMar>
              <w:top w:type="dxa" w:w="70"/>
              <w:left w:type="dxa" w:w="110"/>
              <w:bottom w:type="dxa" w:w="70"/>
              <w:right w:type="dxa" w:w="110"/>
            </w:tcMar>
          </w:tcPr>
          <w:p>
            <w:pPr>
              <w:spacing w:after="0"/>
            </w:pPr>
            <w:r>
              <w:rPr>
                <w:b/>
                <w:bCs/>
                <w:i w:val="false"/>
                <w:iCs w:val="false"/>
                <w:color w:val="000000"/>
                <w:sz w:val="18"/>
                <w:szCs w:val="18"/>
              </w:rPr>
              <w:t xml:space="preserve">CONFIRMED — the columns are absent from schema.sql and present in the live database.</w:t>
            </w:r>
          </w:p>
        </w:tc>
      </w:tr>
    </w:tbl>
    <w:p>
      <w:pPr>
        <w:spacing w:after="120"/>
      </w:pPr>
    </w:p>
    <w:p>
      <w:pPr>
        <w:pStyle w:val="Heading3"/>
        <w:spacing w:after="100" w:before="220"/>
      </w:pPr>
      <w:r>
        <w:t xml:space="preserve">D3  —  The Administrator role cannot reach any administration page</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100"/>
        <w:gridCol w:w="7260"/>
      </w:tblGrid>
      <w:tr>
        <w:tc>
          <w:tcPr>
            <w:tcW w:type="dxa" w:w="2100"/>
            <w:shd w:fill="FFF4E0" w:val="clear"/>
            <w:tcMar>
              <w:top w:type="dxa" w:w="70"/>
              <w:left w:type="dxa" w:w="110"/>
              <w:bottom w:type="dxa" w:w="70"/>
              <w:right w:type="dxa" w:w="110"/>
            </w:tcMar>
          </w:tcPr>
          <w:p>
            <w:pPr>
              <w:spacing w:after="0"/>
            </w:pPr>
            <w:r>
              <w:rPr>
                <w:b/>
                <w:bCs/>
                <w:i w:val="false"/>
                <w:iCs w:val="false"/>
                <w:color w:val="000000"/>
                <w:sz w:val="18"/>
                <w:szCs w:val="18"/>
              </w:rPr>
              <w:t xml:space="preserve">Severity</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Medium — but see U2, this may be intended</w:t>
            </w:r>
          </w:p>
        </w:tc>
      </w:tr>
      <w:tr>
        <w:tc>
          <w:tcPr>
            <w:tcW w:type="dxa" w:w="2100"/>
            <w:shd w:fill="F7F9FC" w:val="clear"/>
            <w:tcMar>
              <w:top w:type="dxa" w:w="70"/>
              <w:left w:type="dxa" w:w="110"/>
              <w:bottom w:type="dxa" w:w="70"/>
              <w:right w:type="dxa" w:w="110"/>
            </w:tcMar>
          </w:tcPr>
          <w:p>
            <w:pPr>
              <w:spacing w:after="0"/>
            </w:pPr>
            <w:r>
              <w:rPr>
                <w:b/>
                <w:bCs/>
                <w:i w:val="false"/>
                <w:iCs w:val="false"/>
                <w:color w:val="000000"/>
                <w:sz w:val="18"/>
                <w:szCs w:val="18"/>
              </w:rPr>
              <w:t xml:space="preserve">Where</w:t>
            </w:r>
          </w:p>
        </w:tc>
        <w:tc>
          <w:tcPr>
            <w:tcW w:type="dxa" w:w="7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/admin/companies and /admin/users  ·  app/middleware/auth.js</w:t>
            </w:r>
          </w:p>
        </w:tc>
      </w:tr>
      <w:tr>
        <w:tc>
          <w:tcPr>
            <w:tcW w:type="dxa" w:w="2100"/>
            <w:shd w:fill="FFFFFF" w:val="clear"/>
            <w:tcMar>
              <w:top w:type="dxa" w:w="70"/>
              <w:left w:type="dxa" w:w="110"/>
              <w:bottom w:type="dxa" w:w="70"/>
              <w:right w:type="dxa" w:w="110"/>
            </w:tcMar>
          </w:tcPr>
          <w:p>
            <w:pPr>
              <w:spacing w:after="0"/>
            </w:pPr>
            <w:r>
              <w:rPr>
                <w:b/>
                <w:bCs/>
                <w:i w:val="false"/>
                <w:iCs w:val="false"/>
                <w:color w:val="000000"/>
                <w:sz w:val="18"/>
                <w:szCs w:val="18"/>
              </w:rPr>
              <w:t xml:space="preserve">What happens</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Both admin routes require the Super administrator role specifically. Signing in as admin@alrajhi.sa — an account that carries the platform-administrator flag in the database — returns 403 on both. The guard tests the role, not the flag, so the flag grants nothing.</w:t>
            </w:r>
          </w:p>
        </w:tc>
      </w:tr>
      <w:tr>
        <w:tc>
          <w:tcPr>
            <w:tcW w:type="dxa" w:w="2100"/>
            <w:shd w:fill="F7F9FC" w:val="clear"/>
            <w:tcMar>
              <w:top w:type="dxa" w:w="70"/>
              <w:left w:type="dxa" w:w="110"/>
              <w:bottom w:type="dxa" w:w="70"/>
              <w:right w:type="dxa" w:w="110"/>
            </w:tcMar>
          </w:tcPr>
          <w:p>
            <w:pPr>
              <w:spacing w:after="0"/>
            </w:pPr>
            <w:r>
              <w:rPr>
                <w:b/>
                <w:bCs/>
                <w:i w:val="false"/>
                <w:iCs w:val="false"/>
                <w:color w:val="000000"/>
                <w:sz w:val="18"/>
                <w:szCs w:val="18"/>
              </w:rPr>
              <w:t xml:space="preserve">The contradiction</w:t>
            </w:r>
          </w:p>
        </w:tc>
        <w:tc>
          <w:tcPr>
            <w:tcW w:type="dxa" w:w="7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role descriptions the product itself displays on /account say the Administrator "manages users and their authorities" and the Model manager "manages users". Neither can. The header Settings menu also offers "Users &amp; profiles" and "Company details" links to anyone with edit rights, pointing at /account#users and /account#company — anchors that do not exist on that page.</w:t>
            </w:r>
          </w:p>
        </w:tc>
      </w:tr>
      <w:tr>
        <w:tc>
          <w:tcPr>
            <w:tcW w:type="dxa" w:w="2100"/>
            <w:shd w:fill="FFFFFF" w:val="clear"/>
            <w:tcMar>
              <w:top w:type="dxa" w:w="70"/>
              <w:left w:type="dxa" w:w="110"/>
              <w:bottom w:type="dxa" w:w="70"/>
              <w:right w:type="dxa" w:w="110"/>
            </w:tcMar>
          </w:tcPr>
          <w:p>
            <w:pPr>
              <w:spacing w:after="0"/>
            </w:pPr>
            <w:r>
              <w:rPr>
                <w:b/>
                <w:bCs/>
                <w:i w:val="false"/>
                <w:iCs w:val="false"/>
                <w:color w:val="000000"/>
                <w:sz w:val="18"/>
                <w:szCs w:val="18"/>
              </w:rPr>
              <w:t xml:space="preserve">Confirmed or inferred</w:t>
            </w:r>
          </w:p>
        </w:tc>
        <w:tc>
          <w:tcPr>
            <w:tcW w:type="dxa" w:w="7260"/>
            <w:shd w:fill="FFFFFF" w:val="clear"/>
            <w:tcMar>
              <w:top w:type="dxa" w:w="70"/>
              <w:left w:type="dxa" w:w="110"/>
              <w:bottom w:type="dxa" w:w="70"/>
              <w:right w:type="dxa" w:w="110"/>
            </w:tcMar>
          </w:tcPr>
          <w:p>
            <w:pPr>
              <w:spacing w:after="0"/>
            </w:pPr>
            <w:r>
              <w:rPr>
                <w:b/>
                <w:bCs/>
                <w:i w:val="false"/>
                <w:iCs w:val="false"/>
                <w:color w:val="000000"/>
                <w:sz w:val="18"/>
                <w:szCs w:val="18"/>
              </w:rPr>
              <w:t xml:space="preserve">CONFIRMED — 403 reproduced for the Administrator and Model manager roles.</w:t>
            </w:r>
          </w:p>
        </w:tc>
      </w:tr>
    </w:tbl>
    <w:p>
      <w:pPr>
        <w:spacing w:after="120"/>
      </w:pPr>
    </w:p>
    <w:p>
      <w:pPr>
        <w:pStyle w:val="Heading3"/>
        <w:spacing w:after="100" w:before="220"/>
      </w:pPr>
      <w:r>
        <w:t xml:space="preserve">D4  —  No user can change their own password</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100"/>
        <w:gridCol w:w="7260"/>
      </w:tblGrid>
      <w:tr>
        <w:tc>
          <w:tcPr>
            <w:tcW w:type="dxa" w:w="2100"/>
            <w:shd w:fill="FFF4E0" w:val="clear"/>
            <w:tcMar>
              <w:top w:type="dxa" w:w="70"/>
              <w:left w:type="dxa" w:w="110"/>
              <w:bottom w:type="dxa" w:w="70"/>
              <w:right w:type="dxa" w:w="110"/>
            </w:tcMar>
          </w:tcPr>
          <w:p>
            <w:pPr>
              <w:spacing w:after="0"/>
            </w:pPr>
            <w:r>
              <w:rPr>
                <w:b/>
                <w:bCs/>
                <w:i w:val="false"/>
                <w:iCs w:val="false"/>
                <w:color w:val="000000"/>
                <w:sz w:val="18"/>
                <w:szCs w:val="18"/>
              </w:rPr>
              <w:t xml:space="preserve">Severity</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Medium</w:t>
            </w:r>
          </w:p>
        </w:tc>
      </w:tr>
      <w:tr>
        <w:tc>
          <w:tcPr>
            <w:tcW w:type="dxa" w:w="2100"/>
            <w:shd w:fill="F7F9FC" w:val="clear"/>
            <w:tcMar>
              <w:top w:type="dxa" w:w="70"/>
              <w:left w:type="dxa" w:w="110"/>
              <w:bottom w:type="dxa" w:w="70"/>
              <w:right w:type="dxa" w:w="110"/>
            </w:tcMar>
          </w:tcPr>
          <w:p>
            <w:pPr>
              <w:spacing w:after="0"/>
            </w:pPr>
            <w:r>
              <w:rPr>
                <w:b/>
                <w:bCs/>
                <w:i w:val="false"/>
                <w:iCs w:val="false"/>
                <w:color w:val="000000"/>
                <w:sz w:val="18"/>
                <w:szCs w:val="18"/>
              </w:rPr>
              <w:t xml:space="preserve">Where</w:t>
            </w:r>
          </w:p>
        </w:tc>
        <w:tc>
          <w:tcPr>
            <w:tcW w:type="dxa" w:w="7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Product-wide</w:t>
            </w:r>
          </w:p>
        </w:tc>
      </w:tr>
      <w:tr>
        <w:tc>
          <w:tcPr>
            <w:tcW w:type="dxa" w:w="2100"/>
            <w:shd w:fill="FFFFFF" w:val="clear"/>
            <w:tcMar>
              <w:top w:type="dxa" w:w="70"/>
              <w:left w:type="dxa" w:w="110"/>
              <w:bottom w:type="dxa" w:w="70"/>
              <w:right w:type="dxa" w:w="110"/>
            </w:tcMar>
          </w:tcPr>
          <w:p>
            <w:pPr>
              <w:spacing w:after="0"/>
            </w:pPr>
            <w:r>
              <w:rPr>
                <w:b/>
                <w:bCs/>
                <w:i w:val="false"/>
                <w:iCs w:val="false"/>
                <w:color w:val="000000"/>
                <w:sz w:val="18"/>
                <w:szCs w:val="18"/>
              </w:rPr>
              <w:t xml:space="preserve">What happens</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There is no change-password form anywhere. The only way a password can be set is a Super administrator setting one FOR someone else at /admin/users, where it is displayed once and handed over. Combined with D3, a company with no Super administrator account has no way to change any password at all.</w:t>
            </w:r>
          </w:p>
        </w:tc>
      </w:tr>
      <w:tr>
        <w:tc>
          <w:tcPr>
            <w:tcW w:type="dxa" w:w="2100"/>
            <w:shd w:fill="F7F9FC" w:val="clear"/>
            <w:tcMar>
              <w:top w:type="dxa" w:w="70"/>
              <w:left w:type="dxa" w:w="110"/>
              <w:bottom w:type="dxa" w:w="70"/>
              <w:right w:type="dxa" w:w="110"/>
            </w:tcMar>
          </w:tcPr>
          <w:p>
            <w:pPr>
              <w:spacing w:after="0"/>
            </w:pPr>
            <w:r>
              <w:rPr>
                <w:b/>
                <w:bCs/>
                <w:i w:val="false"/>
                <w:iCs w:val="false"/>
                <w:color w:val="000000"/>
                <w:sz w:val="18"/>
                <w:szCs w:val="18"/>
              </w:rPr>
              <w:t xml:space="preserve">Confirmed or inferred</w:t>
            </w:r>
          </w:p>
        </w:tc>
        <w:tc>
          <w:tcPr>
            <w:tcW w:type="dxa" w:w="7260"/>
            <w:shd w:fill="F7F9FC" w:val="clear"/>
            <w:tcMar>
              <w:top w:type="dxa" w:w="70"/>
              <w:left w:type="dxa" w:w="110"/>
              <w:bottom w:type="dxa" w:w="70"/>
              <w:right w:type="dxa" w:w="110"/>
            </w:tcMar>
          </w:tcPr>
          <w:p>
            <w:pPr>
              <w:spacing w:after="0"/>
            </w:pPr>
            <w:r>
              <w:rPr>
                <w:b/>
                <w:bCs/>
                <w:i w:val="false"/>
                <w:iCs w:val="false"/>
                <w:color w:val="000000"/>
                <w:sz w:val="18"/>
                <w:szCs w:val="18"/>
              </w:rPr>
              <w:t xml:space="preserve">CONFIRMED — no such route or form exists.</w:t>
            </w:r>
          </w:p>
        </w:tc>
      </w:tr>
    </w:tbl>
    <w:p>
      <w:pPr>
        <w:spacing w:after="120"/>
      </w:pPr>
    </w:p>
    <w:p>
      <w:pPr>
        <w:pStyle w:val="Heading3"/>
        <w:spacing w:after="100" w:before="220"/>
      </w:pPr>
      <w:r>
        <w:t xml:space="preserve">D5  —  The income-statement CSV export omits all historical revenue</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100"/>
        <w:gridCol w:w="7260"/>
      </w:tblGrid>
      <w:tr>
        <w:tc>
          <w:tcPr>
            <w:tcW w:type="dxa" w:w="2100"/>
            <w:shd w:fill="FFF4E0" w:val="clear"/>
            <w:tcMar>
              <w:top w:type="dxa" w:w="70"/>
              <w:left w:type="dxa" w:w="110"/>
              <w:bottom w:type="dxa" w:w="70"/>
              <w:right w:type="dxa" w:w="110"/>
            </w:tcMar>
          </w:tcPr>
          <w:p>
            <w:pPr>
              <w:spacing w:after="0"/>
            </w:pPr>
            <w:r>
              <w:rPr>
                <w:b/>
                <w:bCs/>
                <w:i w:val="false"/>
                <w:iCs w:val="false"/>
                <w:color w:val="000000"/>
                <w:sz w:val="18"/>
                <w:szCs w:val="18"/>
              </w:rPr>
              <w:t xml:space="preserve">Severity</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Medium — the export disagrees with the screen</w:t>
            </w:r>
          </w:p>
        </w:tc>
      </w:tr>
      <w:tr>
        <w:tc>
          <w:tcPr>
            <w:tcW w:type="dxa" w:w="2100"/>
            <w:shd w:fill="F7F9FC" w:val="clear"/>
            <w:tcMar>
              <w:top w:type="dxa" w:w="70"/>
              <w:left w:type="dxa" w:w="110"/>
              <w:bottom w:type="dxa" w:w="70"/>
              <w:right w:type="dxa" w:w="110"/>
            </w:tcMar>
          </w:tcPr>
          <w:p>
            <w:pPr>
              <w:spacing w:after="0"/>
            </w:pPr>
            <w:r>
              <w:rPr>
                <w:b/>
                <w:bCs/>
                <w:i w:val="false"/>
                <w:iCs w:val="false"/>
                <w:color w:val="000000"/>
                <w:sz w:val="18"/>
                <w:szCs w:val="18"/>
              </w:rPr>
              <w:t xml:space="preserve">Where</w:t>
            </w:r>
          </w:p>
        </w:tc>
        <w:tc>
          <w:tcPr>
            <w:tcW w:type="dxa" w:w="7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/outputs/export/income-statement.csv</w:t>
            </w:r>
          </w:p>
        </w:tc>
      </w:tr>
      <w:tr>
        <w:tc>
          <w:tcPr>
            <w:tcW w:type="dxa" w:w="2100"/>
            <w:shd w:fill="FFFFFF" w:val="clear"/>
            <w:tcMar>
              <w:top w:type="dxa" w:w="70"/>
              <w:left w:type="dxa" w:w="110"/>
              <w:bottom w:type="dxa" w:w="70"/>
              <w:right w:type="dxa" w:w="110"/>
            </w:tcMar>
          </w:tcPr>
          <w:p>
            <w:pPr>
              <w:spacing w:after="0"/>
            </w:pPr>
            <w:r>
              <w:rPr>
                <w:b/>
                <w:bCs/>
                <w:i w:val="false"/>
                <w:iCs w:val="false"/>
                <w:color w:val="000000"/>
                <w:sz w:val="18"/>
                <w:szCs w:val="18"/>
              </w:rPr>
              <w:t xml:space="preserve">What happens</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export matches historical figures to forecast lines by exact line name. The forecast statement has "Revenue — organic", "Revenue — strategic initiatives" and "Total revenue"; the historical set has "Revenue". No name matches, so the historical columns for all three revenue rows come out blank. Verified: the exported file shows empty 2023 (A), 2024 (A) and 2025 (A) cells for Total revenue while the cost lines below carry their actuals.</w:t>
            </w:r>
          </w:p>
        </w:tc>
      </w:tr>
      <w:tr>
        <w:tc>
          <w:tcPr>
            <w:tcW w:type="dxa" w:w="2100"/>
            <w:shd w:fill="F7F9FC" w:val="clear"/>
            <w:tcMar>
              <w:top w:type="dxa" w:w="70"/>
              <w:left w:type="dxa" w:w="110"/>
              <w:bottom w:type="dxa" w:w="70"/>
              <w:right w:type="dxa" w:w="110"/>
            </w:tcMar>
          </w:tcPr>
          <w:p>
            <w:pPr>
              <w:spacing w:after="0"/>
            </w:pPr>
            <w:r>
              <w:rPr>
                <w:b/>
                <w:bCs/>
                <w:i w:val="false"/>
                <w:iCs w:val="false"/>
                <w:color w:val="000000"/>
                <w:sz w:val="18"/>
                <w:szCs w:val="18"/>
              </w:rPr>
              <w:t xml:space="preserve">Related</w:t>
            </w:r>
          </w:p>
        </w:tc>
        <w:tc>
          <w:tcPr>
            <w:tcW w:type="dxa" w:w="7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On screen the opposite happens: actual Revenue is printed against BOTH "Revenue — organic" and "Total revenue" — the same figure twice. Also missing an actual column on screen: "Total operating expenses", which shows a dash for every historical year even though it could be derived.</w:t>
            </w:r>
          </w:p>
        </w:tc>
      </w:tr>
      <w:tr>
        <w:tc>
          <w:tcPr>
            <w:tcW w:type="dxa" w:w="2100"/>
            <w:shd w:fill="FFFFFF" w:val="clear"/>
            <w:tcMar>
              <w:top w:type="dxa" w:w="70"/>
              <w:left w:type="dxa" w:w="110"/>
              <w:bottom w:type="dxa" w:w="70"/>
              <w:right w:type="dxa" w:w="110"/>
            </w:tcMar>
          </w:tcPr>
          <w:p>
            <w:pPr>
              <w:spacing w:after="0"/>
            </w:pPr>
            <w:r>
              <w:rPr>
                <w:b/>
                <w:bCs/>
                <w:i w:val="false"/>
                <w:iCs w:val="false"/>
                <w:color w:val="000000"/>
                <w:sz w:val="18"/>
                <w:szCs w:val="18"/>
              </w:rPr>
              <w:t xml:space="preserve">Confirmed or inferred</w:t>
            </w:r>
          </w:p>
        </w:tc>
        <w:tc>
          <w:tcPr>
            <w:tcW w:type="dxa" w:w="7260"/>
            <w:shd w:fill="FFFFFF" w:val="clear"/>
            <w:tcMar>
              <w:top w:type="dxa" w:w="70"/>
              <w:left w:type="dxa" w:w="110"/>
              <w:bottom w:type="dxa" w:w="70"/>
              <w:right w:type="dxa" w:w="110"/>
            </w:tcMar>
          </w:tcPr>
          <w:p>
            <w:pPr>
              <w:spacing w:after="0"/>
            </w:pPr>
            <w:r>
              <w:rPr>
                <w:b/>
                <w:bCs/>
                <w:i w:val="false"/>
                <w:iCs w:val="false"/>
                <w:color w:val="000000"/>
                <w:sz w:val="18"/>
                <w:szCs w:val="18"/>
              </w:rPr>
              <w:t xml:space="preserve">CONFIRMED — reproduced by exporting from the running system.</w:t>
            </w:r>
          </w:p>
        </w:tc>
      </w:tr>
    </w:tbl>
    <w:p>
      <w:pPr>
        <w:spacing w:after="120"/>
      </w:pPr>
    </w:p>
    <w:p>
      <w:pPr>
        <w:pStyle w:val="Heading3"/>
        <w:spacing w:after="100" w:before="220"/>
      </w:pPr>
      <w:r>
        <w:t xml:space="preserve">D6  —  Stale step-number references in on-screen text</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100"/>
        <w:gridCol w:w="7260"/>
      </w:tblGrid>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Severity</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Low — but it sends users to the wrong screen</w:t>
            </w:r>
          </w:p>
        </w:tc>
      </w:tr>
      <w:tr>
        <w:tc>
          <w:tcPr>
            <w:tcW w:type="dxa" w:w="2100"/>
            <w:shd w:fill="F7F9FC" w:val="clear"/>
            <w:tcMar>
              <w:top w:type="dxa" w:w="70"/>
              <w:left w:type="dxa" w:w="110"/>
              <w:bottom w:type="dxa" w:w="70"/>
              <w:right w:type="dxa" w:w="110"/>
            </w:tcMar>
          </w:tcPr>
          <w:p>
            <w:pPr>
              <w:spacing w:after="0"/>
            </w:pPr>
            <w:r>
              <w:rPr>
                <w:b/>
                <w:bCs/>
                <w:i w:val="false"/>
                <w:iCs w:val="false"/>
                <w:color w:val="000000"/>
                <w:sz w:val="18"/>
                <w:szCs w:val="18"/>
              </w:rPr>
              <w:t xml:space="preserve">What happens</w:t>
            </w:r>
          </w:p>
        </w:tc>
        <w:tc>
          <w:tcPr>
            <w:tcW w:type="dxa" w:w="7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step list was renumbered at some point and four references were not updated.</w:t>
            </w:r>
          </w:p>
        </w:tc>
      </w:tr>
      <w:tr>
        <w:tc>
          <w:tcPr>
            <w:tcW w:type="dxa" w:w="2100"/>
            <w:shd w:fill="FFFFFF" w:val="clear"/>
            <w:tcMar>
              <w:top w:type="dxa" w:w="70"/>
              <w:left w:type="dxa" w:w="110"/>
              <w:bottom w:type="dxa" w:w="70"/>
              <w:right w:type="dxa" w:w="110"/>
            </w:tcMar>
          </w:tcPr>
          <w:p>
            <w:pPr>
              <w:spacing w:after="0"/>
            </w:pPr>
            <w:r>
              <w:rPr>
                <w:b/>
                <w:bCs/>
                <w:i w:val="false"/>
                <w:iCs w:val="false"/>
                <w:color w:val="000000"/>
                <w:sz w:val="18"/>
                <w:szCs w:val="18"/>
              </w:rPr>
              <w:t xml:space="preserve">Occurrences</w:t>
            </w:r>
          </w:p>
        </w:tc>
        <w:tc>
          <w:tcPr>
            <w:tcW w:type="dxa" w:w="7260"/>
            <w:shd w:fill="FFFFFF" w:val="clear"/>
            <w:tcMar>
              <w:top w:type="dxa" w:w="70"/>
              <w:left w:type="dxa" w:w="110"/>
              <w:bottom w:type="dxa" w:w="70"/>
              <w:right w:type="dxa" w:w="110"/>
            </w:tcMar>
          </w:tcPr>
          <w:p>
            <w:pPr>
              <w:spacing w:after="40"/>
            </w:pPr>
            <w:r>
              <w:rPr>
                <w:b w:val="false"/>
                <w:bCs w:val="false"/>
                <w:i w:val="false"/>
                <w:iCs w:val="false"/>
                <w:color w:val="000000"/>
                <w:sz w:val="18"/>
                <w:szCs w:val="18"/>
              </w:rPr>
              <w:t xml:space="preserve">· The red integrity banner on every output screen links "Debt &amp; financing" to /inputs/8 — which is Strategic initiatives. Debt is /inputs/7.</w:t>
            </w:r>
          </w:p>
          <w:p>
            <w:pPr>
              <w:spacing w:after="40"/>
            </w:pPr>
            <w:r>
              <w:rPr>
                <w:b w:val="false"/>
                <w:bCs w:val="false"/>
                <w:i w:val="false"/>
                <w:iCs w:val="false"/>
                <w:color w:val="000000"/>
                <w:sz w:val="18"/>
                <w:szCs w:val="18"/>
              </w:rPr>
              <w:t xml:space="preserve">· Step 6 (Cost drivers) says fixed costs escalate by "the inflation rate set on step 8". Inflation is step 2.</w:t>
            </w:r>
          </w:p>
          <w:p>
            <w:pPr>
              <w:spacing w:after="40"/>
            </w:pPr>
            <w:r>
              <w:rPr>
                <w:b w:val="false"/>
                <w:bCs w:val="false"/>
                <w:i w:val="false"/>
                <w:iCs w:val="false"/>
                <w:color w:val="000000"/>
                <w:sz w:val="18"/>
                <w:szCs w:val="18"/>
              </w:rPr>
              <w:t xml:space="preserve">· Step 5 (Growth drivers) says initiatives are "layered on top separately in step 6". Initiatives are step 8.</w:t>
            </w:r>
          </w:p>
          <w:p>
            <w:pPr>
              <w:spacing w:after="0"/>
            </w:pPr>
            <w:r>
              <w:rPr>
                <w:b w:val="false"/>
                <w:bCs w:val="false"/>
                <w:i w:val="false"/>
                <w:iCs w:val="false"/>
                <w:color w:val="000000"/>
                <w:sz w:val="18"/>
                <w:szCs w:val="18"/>
              </w:rPr>
              <w:t xml:space="preserve">· Step 8 (Initiatives) says "Organic growth on step 4 stays separate". Organic growth is step 5.</w:t>
            </w:r>
          </w:p>
        </w:tc>
      </w:tr>
      <w:tr>
        <w:tc>
          <w:tcPr>
            <w:tcW w:type="dxa" w:w="2100"/>
            <w:shd w:fill="F7F9FC" w:val="clear"/>
            <w:tcMar>
              <w:top w:type="dxa" w:w="70"/>
              <w:left w:type="dxa" w:w="110"/>
              <w:bottom w:type="dxa" w:w="70"/>
              <w:right w:type="dxa" w:w="110"/>
            </w:tcMar>
          </w:tcPr>
          <w:p>
            <w:pPr>
              <w:spacing w:after="0"/>
            </w:pPr>
            <w:r>
              <w:rPr>
                <w:b/>
                <w:bCs/>
                <w:i w:val="false"/>
                <w:iCs w:val="false"/>
                <w:color w:val="000000"/>
                <w:sz w:val="18"/>
                <w:szCs w:val="18"/>
              </w:rPr>
              <w:t xml:space="preserve">Confirmed or inferred</w:t>
            </w:r>
          </w:p>
        </w:tc>
        <w:tc>
          <w:tcPr>
            <w:tcW w:type="dxa" w:w="7260"/>
            <w:shd w:fill="F7F9FC" w:val="clear"/>
            <w:tcMar>
              <w:top w:type="dxa" w:w="70"/>
              <w:left w:type="dxa" w:w="110"/>
              <w:bottom w:type="dxa" w:w="70"/>
              <w:right w:type="dxa" w:w="110"/>
            </w:tcMar>
          </w:tcPr>
          <w:p>
            <w:pPr>
              <w:spacing w:after="0"/>
            </w:pPr>
            <w:r>
              <w:rPr>
                <w:b/>
                <w:bCs/>
                <w:i w:val="false"/>
                <w:iCs w:val="false"/>
                <w:color w:val="000000"/>
                <w:sz w:val="18"/>
                <w:szCs w:val="18"/>
              </w:rPr>
              <w:t xml:space="preserve">CONFIRMED — read directly from the templates.</w:t>
            </w:r>
          </w:p>
        </w:tc>
      </w:tr>
    </w:tbl>
    <w:p>
      <w:pPr>
        <w:spacing w:after="120"/>
      </w:pPr>
    </w:p>
    <w:p>
      <w:pPr>
        <w:pStyle w:val="Heading3"/>
        <w:spacing w:after="100" w:before="220"/>
      </w:pPr>
      <w:r>
        <w:t xml:space="preserve">D7  —  Company name hardcoded on the Account page</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100"/>
        <w:gridCol w:w="7260"/>
      </w:tblGrid>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Severity</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Low</w:t>
            </w:r>
          </w:p>
        </w:tc>
      </w:tr>
      <w:tr>
        <w:tc>
          <w:tcPr>
            <w:tcW w:type="dxa" w:w="2100"/>
            <w:shd w:fill="F7F9FC" w:val="clear"/>
            <w:tcMar>
              <w:top w:type="dxa" w:w="70"/>
              <w:left w:type="dxa" w:w="110"/>
              <w:bottom w:type="dxa" w:w="70"/>
              <w:right w:type="dxa" w:w="110"/>
            </w:tcMar>
          </w:tcPr>
          <w:p>
            <w:pPr>
              <w:spacing w:after="0"/>
            </w:pPr>
            <w:r>
              <w:rPr>
                <w:b/>
                <w:bCs/>
                <w:i w:val="false"/>
                <w:iCs w:val="false"/>
                <w:color w:val="000000"/>
                <w:sz w:val="18"/>
                <w:szCs w:val="18"/>
              </w:rPr>
              <w:t xml:space="preserve">What happens</w:t>
            </w:r>
          </w:p>
        </w:tc>
        <w:tc>
          <w:tcPr>
            <w:tcW w:type="dxa" w:w="7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"People with access" panel on /account is captioned "Everyone in the AlRajhi Group workspace." — a literal string. Any other company sees the wrong company name on their own account page.</w:t>
            </w:r>
          </w:p>
        </w:tc>
      </w:tr>
      <w:tr>
        <w:tc>
          <w:tcPr>
            <w:tcW w:type="dxa" w:w="2100"/>
            <w:shd w:fill="FFFFFF" w:val="clear"/>
            <w:tcMar>
              <w:top w:type="dxa" w:w="70"/>
              <w:left w:type="dxa" w:w="110"/>
              <w:bottom w:type="dxa" w:w="70"/>
              <w:right w:type="dxa" w:w="110"/>
            </w:tcMar>
          </w:tcPr>
          <w:p>
            <w:pPr>
              <w:spacing w:after="0"/>
            </w:pPr>
            <w:r>
              <w:rPr>
                <w:b/>
                <w:bCs/>
                <w:i w:val="false"/>
                <w:iCs w:val="false"/>
                <w:color w:val="000000"/>
                <w:sz w:val="18"/>
                <w:szCs w:val="18"/>
              </w:rPr>
              <w:t xml:space="preserve">Confirmed or inferred</w:t>
            </w:r>
          </w:p>
        </w:tc>
        <w:tc>
          <w:tcPr>
            <w:tcW w:type="dxa" w:w="7260"/>
            <w:shd w:fill="FFFFFF" w:val="clear"/>
            <w:tcMar>
              <w:top w:type="dxa" w:w="70"/>
              <w:left w:type="dxa" w:w="110"/>
              <w:bottom w:type="dxa" w:w="70"/>
              <w:right w:type="dxa" w:w="110"/>
            </w:tcMar>
          </w:tcPr>
          <w:p>
            <w:pPr>
              <w:spacing w:after="0"/>
            </w:pPr>
            <w:r>
              <w:rPr>
                <w:b/>
                <w:bCs/>
                <w:i w:val="false"/>
                <w:iCs w:val="false"/>
                <w:color w:val="000000"/>
                <w:sz w:val="18"/>
                <w:szCs w:val="18"/>
              </w:rPr>
              <w:t xml:space="preserve">CONFIRMED — read directly from the template.</w:t>
            </w:r>
          </w:p>
        </w:tc>
      </w:tr>
    </w:tbl>
    <w:p>
      <w:pPr>
        <w:spacing w:after="120"/>
      </w:pPr>
    </w:p>
    <w:p>
      <w:pPr>
        <w:pStyle w:val="Heading3"/>
        <w:spacing w:after="100" w:before="220"/>
      </w:pPr>
      <w:r>
        <w:t xml:space="preserve">D8  —  The step-9 depreciation preview ignores the model's first-year convention</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100"/>
        <w:gridCol w:w="7260"/>
      </w:tblGrid>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Severity</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Low — a preview, not a reported figure</w:t>
            </w:r>
          </w:p>
        </w:tc>
      </w:tr>
      <w:tr>
        <w:tc>
          <w:tcPr>
            <w:tcW w:type="dxa" w:w="2100"/>
            <w:shd w:fill="F7F9FC" w:val="clear"/>
            <w:tcMar>
              <w:top w:type="dxa" w:w="70"/>
              <w:left w:type="dxa" w:w="110"/>
              <w:bottom w:type="dxa" w:w="70"/>
              <w:right w:type="dxa" w:w="110"/>
            </w:tcMar>
          </w:tcPr>
          <w:p>
            <w:pPr>
              <w:spacing w:after="0"/>
            </w:pPr>
            <w:r>
              <w:rPr>
                <w:b/>
                <w:bCs/>
                <w:i w:val="false"/>
                <w:iCs w:val="false"/>
                <w:color w:val="000000"/>
                <w:sz w:val="18"/>
                <w:szCs w:val="18"/>
              </w:rPr>
              <w:t xml:space="preserve">What happens</w:t>
            </w:r>
          </w:p>
        </w:tc>
        <w:tc>
          <w:tcPr>
            <w:tcW w:type="dxa" w:w="7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on-screen depreciation preview on the Capital expenditure step always halves the first-year charge. The engine uses the model's own "First-year convention" from step 2.</w:t>
            </w:r>
          </w:p>
        </w:tc>
      </w:tr>
      <w:tr>
        <w:tc>
          <w:tcPr>
            <w:tcW w:type="dxa" w:w="2100"/>
            <w:shd w:fill="FFFFFF" w:val="clear"/>
            <w:tcMar>
              <w:top w:type="dxa" w:w="70"/>
              <w:left w:type="dxa" w:w="110"/>
              <w:bottom w:type="dxa" w:w="70"/>
              <w:right w:type="dxa" w:w="110"/>
            </w:tcMar>
          </w:tcPr>
          <w:p>
            <w:pPr>
              <w:spacing w:after="0"/>
            </w:pPr>
            <w:r>
              <w:rPr>
                <w:b/>
                <w:bCs/>
                <w:i w:val="false"/>
                <w:iCs w:val="false"/>
                <w:color w:val="000000"/>
                <w:sz w:val="18"/>
                <w:szCs w:val="18"/>
              </w:rPr>
              <w:t xml:space="preserve">Effect</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With the convention set to anything other than 0.5, the preview on step 9 does not match the depreciation the outputs report. Reproduce by setting the convention to 1.0.</w:t>
            </w:r>
          </w:p>
        </w:tc>
      </w:tr>
      <w:tr>
        <w:tc>
          <w:tcPr>
            <w:tcW w:type="dxa" w:w="2100"/>
            <w:shd w:fill="F7F9FC" w:val="clear"/>
            <w:tcMar>
              <w:top w:type="dxa" w:w="70"/>
              <w:left w:type="dxa" w:w="110"/>
              <w:bottom w:type="dxa" w:w="70"/>
              <w:right w:type="dxa" w:w="110"/>
            </w:tcMar>
          </w:tcPr>
          <w:p>
            <w:pPr>
              <w:spacing w:after="0"/>
            </w:pPr>
            <w:r>
              <w:rPr>
                <w:b/>
                <w:bCs/>
                <w:i w:val="false"/>
                <w:iCs w:val="false"/>
                <w:color w:val="000000"/>
                <w:sz w:val="18"/>
                <w:szCs w:val="18"/>
              </w:rPr>
              <w:t xml:space="preserve">Confirmed or inferred</w:t>
            </w:r>
          </w:p>
        </w:tc>
        <w:tc>
          <w:tcPr>
            <w:tcW w:type="dxa" w:w="7260"/>
            <w:shd w:fill="F7F9FC" w:val="clear"/>
            <w:tcMar>
              <w:top w:type="dxa" w:w="70"/>
              <w:left w:type="dxa" w:w="110"/>
              <w:bottom w:type="dxa" w:w="70"/>
              <w:right w:type="dxa" w:w="110"/>
            </w:tcMar>
          </w:tcPr>
          <w:p>
            <w:pPr>
              <w:spacing w:after="0"/>
            </w:pPr>
            <w:r>
              <w:rPr>
                <w:b/>
                <w:bCs/>
                <w:i w:val="false"/>
                <w:iCs w:val="false"/>
                <w:color w:val="000000"/>
                <w:sz w:val="18"/>
                <w:szCs w:val="18"/>
              </w:rPr>
              <w:t xml:space="preserve">CONFIRMED — a literal 0.5 in the route, against the configured factor in the engine.</w:t>
            </w:r>
          </w:p>
        </w:tc>
      </w:tr>
    </w:tbl>
    <w:p>
      <w:pPr>
        <w:spacing w:after="120"/>
      </w:pPr>
    </w:p>
    <w:p>
      <w:pPr>
        <w:pStyle w:val="Heading3"/>
        <w:spacing w:after="100" w:before="220"/>
      </w:pPr>
      <w:r>
        <w:t xml:space="preserve">D9  —  One untranslated phrase in the Arabic build</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100"/>
        <w:gridCol w:w="7260"/>
      </w:tblGrid>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Severity</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Low</w:t>
            </w:r>
          </w:p>
        </w:tc>
      </w:tr>
      <w:tr>
        <w:tc>
          <w:tcPr>
            <w:tcW w:type="dxa" w:w="2100"/>
            <w:shd w:fill="F7F9FC" w:val="clear"/>
            <w:tcMar>
              <w:top w:type="dxa" w:w="70"/>
              <w:left w:type="dxa" w:w="110"/>
              <w:bottom w:type="dxa" w:w="70"/>
              <w:right w:type="dxa" w:w="110"/>
            </w:tcMar>
          </w:tcPr>
          <w:p>
            <w:pPr>
              <w:spacing w:after="0"/>
            </w:pPr>
            <w:r>
              <w:rPr>
                <w:b/>
                <w:bCs/>
                <w:i w:val="false"/>
                <w:iCs w:val="false"/>
                <w:color w:val="000000"/>
                <w:sz w:val="18"/>
                <w:szCs w:val="18"/>
              </w:rPr>
              <w:t xml:space="preserve">What happens</w:t>
            </w:r>
          </w:p>
        </w:tc>
        <w:tc>
          <w:tcPr>
            <w:tcW w:type="dxa" w:w="7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project's own Arabic audit reports one remaining untranslated phrase: "Business unit" on the /data screen. Everything else — 985 strings — is covered.</w:t>
            </w:r>
          </w:p>
        </w:tc>
      </w:tr>
      <w:tr>
        <w:tc>
          <w:tcPr>
            <w:tcW w:type="dxa" w:w="2100"/>
            <w:shd w:fill="FFFFFF" w:val="clear"/>
            <w:tcMar>
              <w:top w:type="dxa" w:w="70"/>
              <w:left w:type="dxa" w:w="110"/>
              <w:bottom w:type="dxa" w:w="70"/>
              <w:right w:type="dxa" w:w="110"/>
            </w:tcMar>
          </w:tcPr>
          <w:p>
            <w:pPr>
              <w:spacing w:after="0"/>
            </w:pPr>
            <w:r>
              <w:rPr>
                <w:b/>
                <w:bCs/>
                <w:i w:val="false"/>
                <w:iCs w:val="false"/>
                <w:color w:val="000000"/>
                <w:sz w:val="18"/>
                <w:szCs w:val="18"/>
              </w:rPr>
              <w:t xml:space="preserve">Confirmed or inferred</w:t>
            </w:r>
          </w:p>
        </w:tc>
        <w:tc>
          <w:tcPr>
            <w:tcW w:type="dxa" w:w="7260"/>
            <w:shd w:fill="FFFFFF" w:val="clear"/>
            <w:tcMar>
              <w:top w:type="dxa" w:w="70"/>
              <w:left w:type="dxa" w:w="110"/>
              <w:bottom w:type="dxa" w:w="70"/>
              <w:right w:type="dxa" w:w="110"/>
            </w:tcMar>
          </w:tcPr>
          <w:p>
            <w:pPr>
              <w:spacing w:after="0"/>
            </w:pPr>
            <w:r>
              <w:rPr>
                <w:b/>
                <w:bCs/>
                <w:i w:val="false"/>
                <w:iCs w:val="false"/>
                <w:color w:val="000000"/>
                <w:sz w:val="18"/>
                <w:szCs w:val="18"/>
              </w:rPr>
              <w:t xml:space="preserve">CONFIRMED — reported by node scripts/audit-arabic.js.</w:t>
            </w:r>
          </w:p>
        </w:tc>
      </w:tr>
    </w:tbl>
    <w:p>
      <w:pPr>
        <w:spacing w:after="120"/>
      </w:pPr>
    </w:p>
    <w:p>
      <w:pPr>
        <w:pStyle w:val="Heading3"/>
        <w:spacing w:after="100" w:before="220"/>
      </w:pPr>
      <w:r>
        <w:t xml:space="preserve">D10  —  npm run verify checks only one model, and misreports a zero-revenue model</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100"/>
        <w:gridCol w:w="7260"/>
      </w:tblGrid>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Severity</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Low — a gap in the safety net rather than in the product</w:t>
            </w:r>
          </w:p>
        </w:tc>
      </w:tr>
      <w:tr>
        <w:tc>
          <w:tcPr>
            <w:tcW w:type="dxa" w:w="2100"/>
            <w:shd w:fill="F7F9FC" w:val="clear"/>
            <w:tcMar>
              <w:top w:type="dxa" w:w="70"/>
              <w:left w:type="dxa" w:w="110"/>
              <w:bottom w:type="dxa" w:w="70"/>
              <w:right w:type="dxa" w:w="110"/>
            </w:tcMar>
          </w:tcPr>
          <w:p>
            <w:pPr>
              <w:spacing w:after="0"/>
            </w:pPr>
            <w:r>
              <w:rPr>
                <w:b/>
                <w:bCs/>
                <w:i w:val="false"/>
                <w:iCs w:val="false"/>
                <w:color w:val="000000"/>
                <w:sz w:val="18"/>
                <w:szCs w:val="18"/>
              </w:rPr>
              <w:t xml:space="preserve">What happens</w:t>
            </w:r>
          </w:p>
        </w:tc>
        <w:tc>
          <w:tcPr>
            <w:tcW w:type="dxa" w:w="7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verification script picks the company's lowest-id non-archived model and checks only that one. The other seeded models are never verified. It also asserts unconditionally that the revenue mix sums to exactly 1, which is not true — and should not be — for a model with zero total forecast revenue, where the mix is legitimately 0.</w:t>
            </w:r>
          </w:p>
        </w:tc>
      </w:tr>
      <w:tr>
        <w:tc>
          <w:tcPr>
            <w:tcW w:type="dxa" w:w="2100"/>
            <w:shd w:fill="FFFFFF" w:val="clear"/>
            <w:tcMar>
              <w:top w:type="dxa" w:w="70"/>
              <w:left w:type="dxa" w:w="110"/>
              <w:bottom w:type="dxa" w:w="70"/>
              <w:right w:type="dxa" w:w="110"/>
            </w:tcMar>
          </w:tcPr>
          <w:p>
            <w:pPr>
              <w:spacing w:after="0"/>
            </w:pPr>
            <w:r>
              <w:rPr>
                <w:b/>
                <w:bCs/>
                <w:i w:val="false"/>
                <w:iCs w:val="false"/>
                <w:color w:val="000000"/>
                <w:sz w:val="18"/>
                <w:szCs w:val="18"/>
              </w:rPr>
              <w:t xml:space="preserve">Effect</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verify failure may be an artefact rather than a defect, and a real defect in a second model will not be caught. Always check what the first model contains before acting on a verify result.</w:t>
            </w:r>
          </w:p>
        </w:tc>
      </w:tr>
      <w:tr>
        <w:tc>
          <w:tcPr>
            <w:tcW w:type="dxa" w:w="2100"/>
            <w:shd w:fill="F7F9FC" w:val="clear"/>
            <w:tcMar>
              <w:top w:type="dxa" w:w="70"/>
              <w:left w:type="dxa" w:w="110"/>
              <w:bottom w:type="dxa" w:w="70"/>
              <w:right w:type="dxa" w:w="110"/>
            </w:tcMar>
          </w:tcPr>
          <w:p>
            <w:pPr>
              <w:spacing w:after="0"/>
            </w:pPr>
            <w:r>
              <w:rPr>
                <w:b/>
                <w:bCs/>
                <w:i w:val="false"/>
                <w:iCs w:val="false"/>
                <w:color w:val="000000"/>
                <w:sz w:val="18"/>
                <w:szCs w:val="18"/>
              </w:rPr>
              <w:t xml:space="preserve">Confirmed or inferred</w:t>
            </w:r>
          </w:p>
        </w:tc>
        <w:tc>
          <w:tcPr>
            <w:tcW w:type="dxa" w:w="7260"/>
            <w:shd w:fill="F7F9FC" w:val="clear"/>
            <w:tcMar>
              <w:top w:type="dxa" w:w="70"/>
              <w:left w:type="dxa" w:w="110"/>
              <w:bottom w:type="dxa" w:w="70"/>
              <w:right w:type="dxa" w:w="110"/>
            </w:tcMar>
          </w:tcPr>
          <w:p>
            <w:pPr>
              <w:spacing w:after="0"/>
            </w:pPr>
            <w:r>
              <w:rPr>
                <w:b/>
                <w:bCs/>
                <w:i w:val="false"/>
                <w:iCs w:val="false"/>
                <w:color w:val="000000"/>
                <w:sz w:val="18"/>
                <w:szCs w:val="18"/>
              </w:rPr>
              <w:t xml:space="preserve">CONFIRMED — read from scripts/verify.js and reproduced.</w:t>
            </w:r>
          </w:p>
        </w:tc>
      </w:tr>
    </w:tbl>
    <w:p>
      <w:pPr>
        <w:spacing w:after="120"/>
      </w:pPr>
    </w:p>
    <w:p>
      <w:pPr>
        <w:pStyle w:val="Heading2"/>
        <w:spacing w:after="120" w:before="280"/>
      </w:pPr>
      <w:r>
        <w:t xml:space="preserve">7.2  Behaviour requiring business confirmation</w:t>
      </w:r>
    </w:p>
    <w:p>
      <w:pPr>
        <w:spacing w:after="120"/>
      </w:pPr>
      <w:r>
        <w:rPr>
          <w:b w:val="false"/>
          <w:bCs w:val="false"/>
          <w:i w:val="false"/>
          <w:iCs w:val="false"/>
          <w:sz w:val="20"/>
          <w:szCs w:val="20"/>
        </w:rPr>
        <w:t xml:space="preserve">In each case the code is unambiguous about WHAT it does. What cannot be established from the project is whether that is what the business asked for. Do not write a pass/fail expectation until it is confirmed.</w:t>
      </w:r>
    </w:p>
    <w:p>
      <w:pPr>
        <w:pStyle w:val="Heading3"/>
        <w:spacing w:after="100" w:before="220"/>
      </w:pPr>
      <w:r>
        <w:t xml:space="preserve">U1  —  Deleting a business unit destroys its data with no confirmation</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100"/>
        <w:gridCol w:w="7260"/>
      </w:tblGrid>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Implemented behaviour</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Clearing a saved unit name on step 1 and pressing Save deletes the unit immediately and cascades to its actuals, drivers, initiatives, initiative years and probabilities. There is no dialog, no typed confirmation and no undo. Deleting a MODEL, by contrast, requires the exact name typed back.</w:t>
            </w:r>
          </w:p>
        </w:tc>
      </w:tr>
      <w:tr>
        <w:tc>
          <w:tcPr>
            <w:tcW w:type="dxa" w:w="2100"/>
            <w:shd w:fill="FFF4E0" w:val="clear"/>
            <w:tcMar>
              <w:top w:type="dxa" w:w="70"/>
              <w:left w:type="dxa" w:w="110"/>
              <w:bottom w:type="dxa" w:w="70"/>
              <w:right w:type="dxa" w:w="110"/>
            </w:tcMar>
          </w:tcPr>
          <w:p>
            <w:pPr>
              <w:spacing w:after="0"/>
            </w:pPr>
            <w:r>
              <w:rPr>
                <w:b/>
                <w:bCs/>
                <w:i w:val="false"/>
                <w:iCs w:val="false"/>
                <w:color w:val="000000"/>
                <w:sz w:val="18"/>
                <w:szCs w:val="18"/>
              </w:rPr>
              <w:t xml:space="preserve">Needs business confirmation</w:t>
            </w:r>
          </w:p>
        </w:tc>
        <w:tc>
          <w:tcPr>
            <w:tcW w:type="dxa" w:w="7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Should deleting a business unit require a confirmation, in line with model deletion? Should it be blocked when the unit holds data? Should the last remaining unit be protected the way the last model is?</w:t>
            </w:r>
          </w:p>
        </w:tc>
      </w:tr>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Why it affects testing</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It determines whether "unit deleted silently" is a defect to raise or the expected result. It also decides whether an accidental-deletion test belongs in the suite at all.</w:t>
            </w:r>
          </w:p>
        </w:tc>
      </w:tr>
    </w:tbl>
    <w:p>
      <w:pPr>
        <w:spacing w:after="120"/>
      </w:pPr>
    </w:p>
    <w:p>
      <w:pPr>
        <w:pStyle w:val="Heading3"/>
        <w:spacing w:after="100" w:before="220"/>
      </w:pPr>
      <w:r>
        <w:t xml:space="preserve">U2  —  Who is supposed to administer users</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100"/>
        <w:gridCol w:w="7260"/>
      </w:tblGrid>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Implemented behaviour</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Only the Super administrator role can reach /admin/companies and /admin/users. The is_platform_admin database flag grants nothing on its own, even though the seeded Administrator carries it. The product's own role descriptions claim the Administrator and Model manager manage users.</w:t>
            </w:r>
          </w:p>
        </w:tc>
      </w:tr>
      <w:tr>
        <w:tc>
          <w:tcPr>
            <w:tcW w:type="dxa" w:w="2100"/>
            <w:shd w:fill="FFF4E0" w:val="clear"/>
            <w:tcMar>
              <w:top w:type="dxa" w:w="70"/>
              <w:left w:type="dxa" w:w="110"/>
              <w:bottom w:type="dxa" w:w="70"/>
              <w:right w:type="dxa" w:w="110"/>
            </w:tcMar>
          </w:tcPr>
          <w:p>
            <w:pPr>
              <w:spacing w:after="0"/>
            </w:pPr>
            <w:r>
              <w:rPr>
                <w:b/>
                <w:bCs/>
                <w:i w:val="false"/>
                <w:iCs w:val="false"/>
                <w:color w:val="000000"/>
                <w:sz w:val="18"/>
                <w:szCs w:val="18"/>
              </w:rPr>
              <w:t xml:space="preserve">Needs business confirmation</w:t>
            </w:r>
          </w:p>
        </w:tc>
        <w:tc>
          <w:tcPr>
            <w:tcW w:type="dxa" w:w="7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Is the strict separation intended — administration held entirely apart from the numbers — or should an Administrator be able to manage the users of their own company? If the separation is intended, the role descriptions on /account and the Settings menu links need correcting.</w:t>
            </w:r>
          </w:p>
        </w:tc>
      </w:tr>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Why it affects testing</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It decides whether D3 is a permissions bug or a wording bug, and it changes the expected result of roughly a dozen access-control test cases.</w:t>
            </w:r>
          </w:p>
        </w:tc>
      </w:tr>
    </w:tbl>
    <w:p>
      <w:pPr>
        <w:spacing w:after="120"/>
      </w:pPr>
    </w:p>
    <w:p>
      <w:pPr>
        <w:pStyle w:val="Heading3"/>
        <w:spacing w:after="100" w:before="220"/>
      </w:pPr>
      <w:r>
        <w:t xml:space="preserve">U3  —  Whether the first forecast year should be inflated</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100"/>
        <w:gridCol w:w="7260"/>
      </w:tblGrid>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Implemented behaviour</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inflation index starts at 1 and is multiplied by the FIRST year's rate before that year is used. So year 1 fixed costs are already escalated once: at 2%, a 50,000 fixed cost is charged at 51,000 in year 1.</w:t>
            </w:r>
          </w:p>
        </w:tc>
      </w:tr>
      <w:tr>
        <w:tc>
          <w:tcPr>
            <w:tcW w:type="dxa" w:w="2100"/>
            <w:shd w:fill="FFF4E0" w:val="clear"/>
            <w:tcMar>
              <w:top w:type="dxa" w:w="70"/>
              <w:left w:type="dxa" w:w="110"/>
              <w:bottom w:type="dxa" w:w="70"/>
              <w:right w:type="dxa" w:w="110"/>
            </w:tcMar>
          </w:tcPr>
          <w:p>
            <w:pPr>
              <w:spacing w:after="0"/>
            </w:pPr>
            <w:r>
              <w:rPr>
                <w:b/>
                <w:bCs/>
                <w:i w:val="false"/>
                <w:iCs w:val="false"/>
                <w:color w:val="000000"/>
                <w:sz w:val="18"/>
                <w:szCs w:val="18"/>
              </w:rPr>
              <w:t xml:space="preserve">Needs business confirmation</w:t>
            </w:r>
          </w:p>
        </w:tc>
        <w:tc>
          <w:tcPr>
            <w:tcW w:type="dxa" w:w="7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Should the first forecast year carry the base cost unescalated (index 1.0000) or escalated (index 1.0200)? Both conventions are used in practice; the model has to pick one deliberately.</w:t>
            </w:r>
          </w:p>
        </w:tc>
      </w:tr>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Why it affects testing</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It changes every fixed cost, therefore EBITDA, therefore net profit and cash, in every year — a systematic difference across the whole statement rather than a rounding one. A tester cannot say whether a figure is right without knowing the convention.</w:t>
            </w:r>
          </w:p>
        </w:tc>
      </w:tr>
    </w:tbl>
    <w:p>
      <w:pPr>
        <w:spacing w:after="120"/>
      </w:pPr>
    </w:p>
    <w:p>
      <w:pPr>
        <w:pStyle w:val="Heading3"/>
        <w:spacing w:after="100" w:before="220"/>
      </w:pPr>
      <w:r>
        <w:t xml:space="preserve">U4  —  Ratios divide by 365 while the balance sheet divides by "days in period"</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100"/>
        <w:gridCol w:w="7260"/>
      </w:tblGrid>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Implemented behaviour</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working-capital balances use the model's "Days in period" setting (default 365). The DSO, DIO and DPO ratios on the Ratios screen always divide by a hard-coded 365.</w:t>
            </w:r>
          </w:p>
        </w:tc>
      </w:tr>
      <w:tr>
        <w:tc>
          <w:tcPr>
            <w:tcW w:type="dxa" w:w="2100"/>
            <w:shd w:fill="FFF4E0" w:val="clear"/>
            <w:tcMar>
              <w:top w:type="dxa" w:w="70"/>
              <w:left w:type="dxa" w:w="110"/>
              <w:bottom w:type="dxa" w:w="70"/>
              <w:right w:type="dxa" w:w="110"/>
            </w:tcMar>
          </w:tcPr>
          <w:p>
            <w:pPr>
              <w:spacing w:after="0"/>
            </w:pPr>
            <w:r>
              <w:rPr>
                <w:b/>
                <w:bCs/>
                <w:i w:val="false"/>
                <w:iCs w:val="false"/>
                <w:color w:val="000000"/>
                <w:sz w:val="18"/>
                <w:szCs w:val="18"/>
              </w:rPr>
              <w:t xml:space="preserve">Needs business confirmation</w:t>
            </w:r>
          </w:p>
        </w:tc>
        <w:tc>
          <w:tcPr>
            <w:tcW w:type="dxa" w:w="7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Should the ratios follow the model setting? On a default model the two agree exactly, so the divergence only appears if someone sets days in period to something other than 365 — for example 360, which some conventions use.</w:t>
            </w:r>
          </w:p>
        </w:tc>
      </w:tr>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Why it affects testing</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On a 360-day model the ratios will not reproduce the day counts that were entered on step 3, which looks like a calculation defect but may be intended. QA needs to know which reading is correct before raising it.</w:t>
            </w:r>
          </w:p>
        </w:tc>
      </w:tr>
    </w:tbl>
    <w:p>
      <w:pPr>
        <w:spacing w:after="120"/>
      </w:pPr>
    </w:p>
    <w:p>
      <w:pPr>
        <w:pStyle w:val="Heading3"/>
        <w:spacing w:after="100" w:before="220"/>
      </w:pPr>
      <w:r>
        <w:t xml:space="preserve">U5  —  The Board / outputs-only role can open the Models screen</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100"/>
        <w:gridCol w:w="7260"/>
      </w:tblGrid>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Implemented behaviour</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Board user is refused /inputs and /data with 403, but /models returns 200. They see the full model list, every model's completion breakdown and step-by-step status. All action buttons are hidden and every action route returns 403, so nothing can be changed.</w:t>
            </w:r>
          </w:p>
        </w:tc>
      </w:tr>
      <w:tr>
        <w:tc>
          <w:tcPr>
            <w:tcW w:type="dxa" w:w="2100"/>
            <w:shd w:fill="FFF4E0" w:val="clear"/>
            <w:tcMar>
              <w:top w:type="dxa" w:w="70"/>
              <w:left w:type="dxa" w:w="110"/>
              <w:bottom w:type="dxa" w:w="70"/>
              <w:right w:type="dxa" w:w="110"/>
            </w:tcMar>
          </w:tcPr>
          <w:p>
            <w:pPr>
              <w:spacing w:after="0"/>
            </w:pPr>
            <w:r>
              <w:rPr>
                <w:b/>
                <w:bCs/>
                <w:i w:val="false"/>
                <w:iCs w:val="false"/>
                <w:color w:val="000000"/>
                <w:sz w:val="18"/>
                <w:szCs w:val="18"/>
              </w:rPr>
              <w:t xml:space="preserve">Needs business confirmation</w:t>
            </w:r>
          </w:p>
        </w:tc>
        <w:tc>
          <w:tcPr>
            <w:tcW w:type="dxa" w:w="7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Should an outputs-only role see the model library and its completion detail at all? They can also open /compare and /report, which is presumably intended.</w:t>
            </w:r>
          </w:p>
        </w:tc>
      </w:tr>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Why it affects testing</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It decides whether "Board user sees /models" is a defect or the expected result — a direct pass/fail difference in the access-control matrix.</w:t>
            </w:r>
          </w:p>
        </w:tc>
      </w:tr>
    </w:tbl>
    <w:p>
      <w:pPr>
        <w:spacing w:after="120"/>
      </w:pPr>
    </w:p>
    <w:p>
      <w:pPr>
        <w:pStyle w:val="Heading3"/>
        <w:spacing w:after="100" w:before="220"/>
      </w:pPr>
      <w:r>
        <w:t xml:space="preserve">U6  —  Duplicating a model drops capex assets attached to initiatives</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100"/>
        <w:gridCol w:w="7260"/>
      </w:tblGrid>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Implemented behaviour</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duplication routine copies capex assets only where initiative_id IS NULL. Assets itemised against an initiative are not copied. Because an itemised asset SUPERSEDES that initiative's own capex line, the copy will capitalise the step-8 figure instead — so the copy can produce different depreciation, different cash flow and a different balance sheet from the original.</w:t>
            </w:r>
          </w:p>
        </w:tc>
      </w:tr>
      <w:tr>
        <w:tc>
          <w:tcPr>
            <w:tcW w:type="dxa" w:w="2100"/>
            <w:shd w:fill="FFF4E0" w:val="clear"/>
            <w:tcMar>
              <w:top w:type="dxa" w:w="70"/>
              <w:left w:type="dxa" w:w="110"/>
              <w:bottom w:type="dxa" w:w="70"/>
              <w:right w:type="dxa" w:w="110"/>
            </w:tcMar>
          </w:tcPr>
          <w:p>
            <w:pPr>
              <w:spacing w:after="0"/>
            </w:pPr>
            <w:r>
              <w:rPr>
                <w:b/>
                <w:bCs/>
                <w:i w:val="false"/>
                <w:iCs w:val="false"/>
                <w:color w:val="000000"/>
                <w:sz w:val="18"/>
                <w:szCs w:val="18"/>
              </w:rPr>
              <w:t xml:space="preserve">Needs business confirmation</w:t>
            </w:r>
          </w:p>
        </w:tc>
        <w:tc>
          <w:tcPr>
            <w:tcW w:type="dxa" w:w="7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Is this intended, or should initiative-owned assets be copied and re-pointed at the new initiative ids? The copy is otherwise a complete deep copy of everything else.</w:t>
            </w:r>
          </w:p>
        </w:tc>
      </w:tr>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Why it affects testing</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It makes "a duplicate produces identical outputs" either a valid expectation or an invalid one. Right now that test would fail on any model using itemised initiative assets, and QA cannot tell whether that is the bug or the test.</w:t>
            </w:r>
          </w:p>
        </w:tc>
      </w:tr>
    </w:tbl>
    <w:p>
      <w:pPr>
        <w:spacing w:after="120"/>
      </w:pPr>
    </w:p>
    <w:p>
      <w:pPr>
        <w:pStyle w:val="Heading3"/>
        <w:spacing w:after="100" w:before="220"/>
      </w:pPr>
      <w:r>
        <w:t xml:space="preserve">U7  —  Four debt fields are collected and never used</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100"/>
        <w:gridCol w:w="7260"/>
      </w:tblGrid>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Implemented behaviour</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Facility limit, first drawdown year, commitment/arrangement fee and grace periods are all captured on step 7, stored in the database, and read by nothing. The engine uses only the name, classification, opening balance, annual rate and the year-by-year drawdown and repayment schedule. No fee is ever charged; no drawdown is checked against a limit; no grace period defers a repayment.</w:t>
            </w:r>
          </w:p>
        </w:tc>
      </w:tr>
      <w:tr>
        <w:tc>
          <w:tcPr>
            <w:tcW w:type="dxa" w:w="2100"/>
            <w:shd w:fill="FFF4E0" w:val="clear"/>
            <w:tcMar>
              <w:top w:type="dxa" w:w="70"/>
              <w:left w:type="dxa" w:w="110"/>
              <w:bottom w:type="dxa" w:w="70"/>
              <w:right w:type="dxa" w:w="110"/>
            </w:tcMar>
          </w:tcPr>
          <w:p>
            <w:pPr>
              <w:spacing w:after="0"/>
            </w:pPr>
            <w:r>
              <w:rPr>
                <w:b/>
                <w:bCs/>
                <w:i w:val="false"/>
                <w:iCs w:val="false"/>
                <w:color w:val="000000"/>
                <w:sz w:val="18"/>
                <w:szCs w:val="18"/>
              </w:rPr>
              <w:t xml:space="preserve">Needs business confirmation</w:t>
            </w:r>
          </w:p>
        </w:tc>
        <w:tc>
          <w:tcPr>
            <w:tcW w:type="dxa" w:w="7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Are these intended for a later release, or should they drive the calculation now? A commitment fee in particular is a real cost that a user entering it would reasonably expect to see in the P&amp;L.</w:t>
            </w:r>
          </w:p>
        </w:tc>
      </w:tr>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Why it affects testing</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Without an answer, QA cannot tell whether "entered a 0.35% fee and nothing changed" is a defect or correct. The same applies to entering a drawdown above the facility limit.</w:t>
            </w:r>
          </w:p>
        </w:tc>
      </w:tr>
    </w:tbl>
    <w:p>
      <w:pPr>
        <w:spacing w:after="120"/>
      </w:pPr>
    </w:p>
    <w:p>
      <w:pPr>
        <w:pStyle w:val="Heading3"/>
        <w:spacing w:after="100" w:before="220"/>
      </w:pPr>
      <w:r>
        <w:t xml:space="preserve">U8  —  Provisions accrue forever and are never settled</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100"/>
        <w:gridCol w:w="7260"/>
      </w:tblGrid>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Implemented behaviour</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provision charges the P&amp;L every year and the liability grows by the same amount. The cash settlement is hard-coded to zero and there is no field anywhere to enter one, so the balance only ever increases across the forecast.</w:t>
            </w:r>
          </w:p>
        </w:tc>
      </w:tr>
      <w:tr>
        <w:tc>
          <w:tcPr>
            <w:tcW w:type="dxa" w:w="2100"/>
            <w:shd w:fill="FFF4E0" w:val="clear"/>
            <w:tcMar>
              <w:top w:type="dxa" w:w="70"/>
              <w:left w:type="dxa" w:w="110"/>
              <w:bottom w:type="dxa" w:w="70"/>
              <w:right w:type="dxa" w:w="110"/>
            </w:tcMar>
          </w:tcPr>
          <w:p>
            <w:pPr>
              <w:spacing w:after="0"/>
            </w:pPr>
            <w:r>
              <w:rPr>
                <w:b/>
                <w:bCs/>
                <w:i w:val="false"/>
                <w:iCs w:val="false"/>
                <w:color w:val="000000"/>
                <w:sz w:val="18"/>
                <w:szCs w:val="18"/>
              </w:rPr>
              <w:t xml:space="preserve">Needs business confirmation</w:t>
            </w:r>
          </w:p>
        </w:tc>
        <w:tc>
          <w:tcPr>
            <w:tcW w:type="dxa" w:w="7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Should there be a settlement or utilisation input? An end-of-service benefit provision that never pays out overstates both the liability and the cash balance for the whole plan.</w:t>
            </w:r>
          </w:p>
        </w:tc>
      </w:tr>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Why it affects testing</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It determines the expected shape of the provision balance over five years — monotonically rising, or rising and falling. That is a fundamental expectation for any provision test.</w:t>
            </w:r>
          </w:p>
        </w:tc>
      </w:tr>
    </w:tbl>
    <w:p>
      <w:pPr>
        <w:spacing w:after="120"/>
      </w:pPr>
    </w:p>
    <w:p>
      <w:pPr>
        <w:pStyle w:val="Heading3"/>
        <w:spacing w:after="100" w:before="220"/>
      </w:pPr>
      <w:r>
        <w:t xml:space="preserve">U9  —  The "Dividend" provision kind does nothing</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100"/>
        <w:gridCol w:w="7260"/>
      </w:tblGrid>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Implemented behaviour</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Step 7 offers "Dividend / distribution" as a provision kind, and the seeded data uses it for an "Ordinary dividend" at 30% of profit. The engine separates those rows out from the accruing provisions and then never uses them: they are not an expense, not an appropriation, and not a cash flow. Dividends actually come solely from the payout ratio in panel C of the same screen.</w:t>
            </w:r>
          </w:p>
        </w:tc>
      </w:tr>
      <w:tr>
        <w:tc>
          <w:tcPr>
            <w:tcW w:type="dxa" w:w="2100"/>
            <w:shd w:fill="FFF4E0" w:val="clear"/>
            <w:tcMar>
              <w:top w:type="dxa" w:w="70"/>
              <w:left w:type="dxa" w:w="110"/>
              <w:bottom w:type="dxa" w:w="70"/>
              <w:right w:type="dxa" w:w="110"/>
            </w:tcMar>
          </w:tcPr>
          <w:p>
            <w:pPr>
              <w:spacing w:after="0"/>
            </w:pPr>
            <w:r>
              <w:rPr>
                <w:b/>
                <w:bCs/>
                <w:i w:val="false"/>
                <w:iCs w:val="false"/>
                <w:color w:val="000000"/>
                <w:sz w:val="18"/>
                <w:szCs w:val="18"/>
              </w:rPr>
              <w:t xml:space="preserve">Needs business confirmation</w:t>
            </w:r>
          </w:p>
        </w:tc>
        <w:tc>
          <w:tcPr>
            <w:tcW w:type="dxa" w:w="7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Should a dividend-kind provision drive a distribution, or should the option be removed? As it stands a user can enter a dividend policy in two places and only one of them has any effect.</w:t>
            </w:r>
          </w:p>
        </w:tc>
      </w:tr>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Why it affects testing</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tester entering a 30% dividend provision would reasonably expect a distribution and would raise a defect when nothing happens. The seeded demo data actively encourages that mistake.</w:t>
            </w:r>
          </w:p>
        </w:tc>
      </w:tr>
    </w:tbl>
    <w:p>
      <w:pPr>
        <w:spacing w:after="120"/>
      </w:pPr>
    </w:p>
    <w:p>
      <w:pPr>
        <w:pStyle w:val="Heading3"/>
        <w:spacing w:after="100" w:before="220"/>
      </w:pPr>
      <w:r>
        <w:t xml:space="preserve">U10  —  Delivery probabilities are not clamped to 0–100%</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100"/>
        <w:gridCol w:w="7260"/>
      </w:tblGrid>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Implemented behaviour</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probability above 100% scales the initiative up — 150% gives a 1.5× multiplier. A negative probability reverses the sign of every line in the initiative, turning its revenue into negative revenue.</w:t>
            </w:r>
          </w:p>
        </w:tc>
      </w:tr>
      <w:tr>
        <w:tc>
          <w:tcPr>
            <w:tcW w:type="dxa" w:w="2100"/>
            <w:shd w:fill="FFF4E0" w:val="clear"/>
            <w:tcMar>
              <w:top w:type="dxa" w:w="70"/>
              <w:left w:type="dxa" w:w="110"/>
              <w:bottom w:type="dxa" w:w="70"/>
              <w:right w:type="dxa" w:w="110"/>
            </w:tcMar>
          </w:tcPr>
          <w:p>
            <w:pPr>
              <w:spacing w:after="0"/>
            </w:pPr>
            <w:r>
              <w:rPr>
                <w:b/>
                <w:bCs/>
                <w:i w:val="false"/>
                <w:iCs w:val="false"/>
                <w:color w:val="000000"/>
                <w:sz w:val="18"/>
                <w:szCs w:val="18"/>
              </w:rPr>
              <w:t xml:space="preserve">Needs business confirmation</w:t>
            </w:r>
          </w:p>
        </w:tc>
        <w:tc>
          <w:tcPr>
            <w:tcW w:type="dxa" w:w="7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Should the field be clamped to 0–100%, warned on, or left open on the grounds that a user may want to stress an initiative beyond its plan?</w:t>
            </w:r>
          </w:p>
        </w:tc>
      </w:tr>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Why it affects testing</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It is the difference between B15 being a passing boundary test and a defect. The negative case in particular produces figures no reader would expect.</w:t>
            </w:r>
          </w:p>
        </w:tc>
      </w:tr>
    </w:tbl>
    <w:p>
      <w:pPr>
        <w:spacing w:after="120"/>
      </w:pPr>
    </w:p>
    <w:p>
      <w:pPr>
        <w:pStyle w:val="Heading3"/>
        <w:spacing w:after="100" w:before="220"/>
      </w:pPr>
      <w:r>
        <w:t xml:space="preserve">U11  —  Intangible assets are frozen for the whole forecast</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100"/>
        <w:gridCol w:w="7260"/>
      </w:tblGrid>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Implemented behaviour</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opening intangibles figure is carried unchanged into every forecast year. It is never amortised and nothing is ever added to it. Software bought through the capex register is classed under IAS 38 in the class list but is depreciated through PP&amp;E like everything else.</w:t>
            </w:r>
          </w:p>
        </w:tc>
      </w:tr>
      <w:tr>
        <w:tc>
          <w:tcPr>
            <w:tcW w:type="dxa" w:w="2100"/>
            <w:shd w:fill="FFF4E0" w:val="clear"/>
            <w:tcMar>
              <w:top w:type="dxa" w:w="70"/>
              <w:left w:type="dxa" w:w="110"/>
              <w:bottom w:type="dxa" w:w="70"/>
              <w:right w:type="dxa" w:w="110"/>
            </w:tcMar>
          </w:tcPr>
          <w:p>
            <w:pPr>
              <w:spacing w:after="0"/>
            </w:pPr>
            <w:r>
              <w:rPr>
                <w:b/>
                <w:bCs/>
                <w:i w:val="false"/>
                <w:iCs w:val="false"/>
                <w:color w:val="000000"/>
                <w:sz w:val="18"/>
                <w:szCs w:val="18"/>
              </w:rPr>
              <w:t xml:space="preserve">Needs business confirmation</w:t>
            </w:r>
          </w:p>
        </w:tc>
        <w:tc>
          <w:tcPr>
            <w:tcW w:type="dxa" w:w="7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Should intangibles amortise? Should software additions land in intangibles rather than PP&amp;E? The class list marks "Software &amp; licences" as "Intangible under IAS 38", which suggests the distinction was intended somewhere.</w:t>
            </w:r>
          </w:p>
        </w:tc>
      </w:tr>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Why it affects testing</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It determines whether a flat intangibles line across five years is correct or a defect, and whether the balance-sheet split between tangible and intangible assets can be trusted.</w:t>
            </w:r>
          </w:p>
        </w:tc>
      </w:tr>
    </w:tbl>
    <w:p>
      <w:pPr>
        <w:spacing w:after="120"/>
      </w:pPr>
    </w:p>
    <w:p>
      <w:pPr>
        <w:pStyle w:val="Heading3"/>
        <w:spacing w:after="100" w:before="220"/>
      </w:pPr>
      <w:r>
        <w:t xml:space="preserve">U12  —  Dividend payout and statutory reserve are not checked against 100%</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100"/>
        <w:gridCol w:w="7260"/>
      </w:tblGrid>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Implemented behaviour</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Both are applied independently to net profit floored at zero. Setting 80% and 80% appropriates 160% of the year's profit, and retained earnings fall even in a profitable year.</w:t>
            </w:r>
          </w:p>
        </w:tc>
      </w:tr>
      <w:tr>
        <w:tc>
          <w:tcPr>
            <w:tcW w:type="dxa" w:w="2100"/>
            <w:shd w:fill="FFF4E0" w:val="clear"/>
            <w:tcMar>
              <w:top w:type="dxa" w:w="70"/>
              <w:left w:type="dxa" w:w="110"/>
              <w:bottom w:type="dxa" w:w="70"/>
              <w:right w:type="dxa" w:w="110"/>
            </w:tcMar>
          </w:tcPr>
          <w:p>
            <w:pPr>
              <w:spacing w:after="0"/>
            </w:pPr>
            <w:r>
              <w:rPr>
                <w:b/>
                <w:bCs/>
                <w:i w:val="false"/>
                <w:iCs w:val="false"/>
                <w:color w:val="000000"/>
                <w:sz w:val="18"/>
                <w:szCs w:val="18"/>
              </w:rPr>
              <w:t xml:space="preserve">Needs business confirmation</w:t>
            </w:r>
          </w:p>
        </w:tc>
        <w:tc>
          <w:tcPr>
            <w:tcW w:type="dxa" w:w="7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Should the two be validated to total 100% or less, or is over-distribution a legitimate scenario the model should be able to express?</w:t>
            </w:r>
          </w:p>
        </w:tc>
      </w:tr>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Why it affects testing</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It decides whether B17 passes or fails, and whether falling retained earnings in a profitable year is a symptom or the expected consequence of the input.</w:t>
            </w:r>
          </w:p>
        </w:tc>
      </w:tr>
    </w:tbl>
    <w:p>
      <w:pPr>
        <w:spacing w:after="120"/>
      </w:pPr>
    </w:p>
    <w:p>
      <w:pPr>
        <w:pStyle w:val="Heading3"/>
        <w:spacing w:after="100" w:before="220"/>
      </w:pPr>
      <w:r>
        <w:t xml:space="preserve">U13  —  Unreadable input silently becomes zero</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100"/>
        <w:gridCol w:w="7260"/>
      </w:tblGrid>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Implemented behaviour</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Every numeric field on every input step runs through one tolerant parser. Anything it cannot read — "abc", "n/a", an empty string, a stray symbol — becomes 0, the save succeeds, and the flash says "Saved." There is no error, no warning and no indication that a figure was discarded.</w:t>
            </w:r>
          </w:p>
        </w:tc>
      </w:tr>
      <w:tr>
        <w:tc>
          <w:tcPr>
            <w:tcW w:type="dxa" w:w="2100"/>
            <w:shd w:fill="FFF4E0" w:val="clear"/>
            <w:tcMar>
              <w:top w:type="dxa" w:w="70"/>
              <w:left w:type="dxa" w:w="110"/>
              <w:bottom w:type="dxa" w:w="70"/>
              <w:right w:type="dxa" w:w="110"/>
            </w:tcMar>
          </w:tcPr>
          <w:p>
            <w:pPr>
              <w:spacing w:after="0"/>
            </w:pPr>
            <w:r>
              <w:rPr>
                <w:b/>
                <w:bCs/>
                <w:i w:val="false"/>
                <w:iCs w:val="false"/>
                <w:color w:val="000000"/>
                <w:sz w:val="18"/>
                <w:szCs w:val="18"/>
              </w:rPr>
              <w:t xml:space="preserve">Needs business confirmation</w:t>
            </w:r>
          </w:p>
        </w:tc>
        <w:tc>
          <w:tcPr>
            <w:tcW w:type="dxa" w:w="7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Should an unparseable value be rejected with a message, or is silent coercion to zero the intended behaviour for a finance tool where a blank cell genuinely means nil?</w:t>
            </w:r>
          </w:p>
        </w:tc>
      </w:tr>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Why it affects testing</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This is the single most consequential open question for negative testing. It determines the expected result of an entire class of test cases, and whether a user pasting a column with a stray character has silently destroyed a year of data.</w:t>
            </w:r>
          </w:p>
        </w:tc>
      </w:tr>
    </w:tbl>
    <w:p>
      <w:pPr>
        <w:spacing w:after="120"/>
      </w:pPr>
    </w:p>
    <w:p>
      <w:pPr>
        <w:pStyle w:val="Heading3"/>
        <w:spacing w:after="100" w:before="220"/>
      </w:pPr>
      <w:r>
        <w:t xml:space="preserve">U14  —  A duplicate business-unit name produces a raw 500 page</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100"/>
        <w:gridCol w:w="7260"/>
      </w:tblGrid>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Implemented behaviour</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Unit names are unique per model at the database level. Entering the same name twice on step 1 breaks the constraint and the error reaches the generic 500 handler. The user sees "The server hit an error" — and in development, the raw SQL message.</w:t>
            </w:r>
          </w:p>
        </w:tc>
      </w:tr>
      <w:tr>
        <w:tc>
          <w:tcPr>
            <w:tcW w:type="dxa" w:w="2100"/>
            <w:shd w:fill="FFF4E0" w:val="clear"/>
            <w:tcMar>
              <w:top w:type="dxa" w:w="70"/>
              <w:left w:type="dxa" w:w="110"/>
              <w:bottom w:type="dxa" w:w="70"/>
              <w:right w:type="dxa" w:w="110"/>
            </w:tcMar>
          </w:tcPr>
          <w:p>
            <w:pPr>
              <w:spacing w:after="0"/>
            </w:pPr>
            <w:r>
              <w:rPr>
                <w:b/>
                <w:bCs/>
                <w:i w:val="false"/>
                <w:iCs w:val="false"/>
                <w:color w:val="000000"/>
                <w:sz w:val="18"/>
                <w:szCs w:val="18"/>
              </w:rPr>
              <w:t xml:space="preserve">Needs business confirmation</w:t>
            </w:r>
          </w:p>
        </w:tc>
        <w:tc>
          <w:tcPr>
            <w:tcW w:type="dxa" w:w="7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Should this be caught and shown as a field-level message such as "A business unit with that name already exists"?</w:t>
            </w:r>
          </w:p>
        </w:tc>
      </w:tr>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Why it affects testing</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500 is normally an automatic defect. Here it is a known consequence of a missing validation, so QA needs to know whether to raise it as a crash or as a missing-validation item.</w:t>
            </w:r>
          </w:p>
        </w:tc>
      </w:tr>
    </w:tbl>
    <w:p>
      <w:pPr>
        <w:spacing w:after="120"/>
      </w:pPr>
    </w:p>
    <w:p>
      <w:pPr>
        <w:pStyle w:val="Heading3"/>
        <w:spacing w:after="100" w:before="220"/>
      </w:pPr>
      <w:r>
        <w:t xml:space="preserve">U15  —  No warning when navigating away from unsaved edits</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100"/>
        <w:gridCol w:w="7260"/>
      </w:tblGrid>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Implemented behaviour</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Step chips, the main navigation, the model switcher, the currency switcher and the "How many" counters are all plain navigations. Any unsaved edits on the page are discarded silently. The largest form in the product — step 6 with four units and five years — holds 300 fields that can be lost in one click.</w:t>
            </w:r>
          </w:p>
        </w:tc>
      </w:tr>
      <w:tr>
        <w:tc>
          <w:tcPr>
            <w:tcW w:type="dxa" w:w="2100"/>
            <w:shd w:fill="FFF4E0" w:val="clear"/>
            <w:tcMar>
              <w:top w:type="dxa" w:w="70"/>
              <w:left w:type="dxa" w:w="110"/>
              <w:bottom w:type="dxa" w:w="70"/>
              <w:right w:type="dxa" w:w="110"/>
            </w:tcMar>
          </w:tcPr>
          <w:p>
            <w:pPr>
              <w:spacing w:after="0"/>
            </w:pPr>
            <w:r>
              <w:rPr>
                <w:b/>
                <w:bCs/>
                <w:i w:val="false"/>
                <w:iCs w:val="false"/>
                <w:color w:val="000000"/>
                <w:sz w:val="18"/>
                <w:szCs w:val="18"/>
              </w:rPr>
              <w:t xml:space="preserve">Needs business confirmation</w:t>
            </w:r>
          </w:p>
        </w:tc>
        <w:tc>
          <w:tcPr>
            <w:tcW w:type="dxa" w:w="7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Should there be an "unsaved changes" prompt? Should the "How many" counters add rows in the browser instead of reloading the page?</w:t>
            </w:r>
          </w:p>
        </w:tc>
      </w:tr>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Why it affects testing</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It decides whether silent data loss on navigation is a defect to raise or accepted behaviour, and it affects how QA must sequence every multi-step input test.</w:t>
            </w:r>
          </w:p>
        </w:tc>
      </w:tr>
    </w:tbl>
    <w:p>
      <w:pPr>
        <w:spacing w:after="120"/>
      </w:pPr>
    </w:p>
    <w:p>
      <w:pPr>
        <w:pStyle w:val="Heading3"/>
        <w:spacing w:after="100" w:before="220"/>
      </w:pPr>
      <w:r>
        <w:t xml:space="preserve">U16  —  Approving a trial balance reports success but writes nothing</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2100"/>
        <w:gridCol w:w="7260"/>
      </w:tblGrid>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Implemented behaviour</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Trial balance, fixed asset register and debt register extractions can be staged and approved. Approval marks them approved and writes an audit entry, but applies nothing to the model — the code states the mapping needs a judgement call and must be done by hand. The user sees "Approved. 0 value(s) written into the model, 1 skipped."</w:t>
            </w:r>
          </w:p>
        </w:tc>
      </w:tr>
      <w:tr>
        <w:tc>
          <w:tcPr>
            <w:tcW w:type="dxa" w:w="2100"/>
            <w:shd w:fill="FFF4E0" w:val="clear"/>
            <w:tcMar>
              <w:top w:type="dxa" w:w="70"/>
              <w:left w:type="dxa" w:w="110"/>
              <w:bottom w:type="dxa" w:w="70"/>
              <w:right w:type="dxa" w:w="110"/>
            </w:tcMar>
          </w:tcPr>
          <w:p>
            <w:pPr>
              <w:spacing w:after="0"/>
            </w:pPr>
            <w:r>
              <w:rPr>
                <w:b/>
                <w:bCs/>
                <w:i w:val="false"/>
                <w:iCs w:val="false"/>
                <w:color w:val="000000"/>
                <w:sz w:val="18"/>
                <w:szCs w:val="18"/>
              </w:rPr>
              <w:t xml:space="preserve">Needs business confirmation</w:t>
            </w:r>
          </w:p>
        </w:tc>
        <w:tc>
          <w:tcPr>
            <w:tcW w:type="dxa" w:w="72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Should these datasets be applicable at all? If not, should the Approve button be hidden or relabelled for them, so the flow does not imply an import that never happens?</w:t>
            </w:r>
          </w:p>
        </w:tc>
      </w:tr>
      <w:tr>
        <w:tc>
          <w:tcPr>
            <w:tcW w:type="dxa" w:w="2100"/>
            <w:shd w:fill="EDF2F8" w:val="clear"/>
            <w:tcMar>
              <w:top w:type="dxa" w:w="70"/>
              <w:left w:type="dxa" w:w="110"/>
              <w:bottom w:type="dxa" w:w="70"/>
              <w:right w:type="dxa" w:w="110"/>
            </w:tcMar>
          </w:tcPr>
          <w:p>
            <w:pPr>
              <w:spacing w:after="0"/>
            </w:pPr>
            <w:r>
              <w:rPr>
                <w:b/>
                <w:bCs/>
                <w:i w:val="false"/>
                <w:iCs w:val="false"/>
                <w:color w:val="000000"/>
                <w:sz w:val="18"/>
                <w:szCs w:val="18"/>
              </w:rPr>
              <w:t xml:space="preserve">Why it affects testing</w:t>
            </w:r>
          </w:p>
        </w:tc>
        <w:tc>
          <w:tcPr>
            <w:tcW w:type="dxa" w:w="72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 flash reads as success. A tester could reasonably record "approval works" without noticing nothing was imported.</w:t>
            </w:r>
          </w:p>
        </w:tc>
      </w:tr>
    </w:tbl>
    <w:p>
      <w:pPr>
        <w:spacing w:after="120"/>
      </w:pPr>
    </w:p>
    <w:p>
      <w:pPr>
        <w:pStyle w:val="Heading2"/>
        <w:spacing w:after="120" w:before="280"/>
      </w:pPr>
      <w:r>
        <w:t xml:space="preserve">7.3  Missing or undefined requirements</w:t>
      </w:r>
    </w:p>
    <w:p>
      <w:pPr>
        <w:spacing w:after="120"/>
      </w:pPr>
      <w:r>
        <w:rPr>
          <w:b w:val="false"/>
          <w:bCs w:val="false"/>
          <w:i w:val="false"/>
          <w:iCs w:val="false"/>
          <w:sz w:val="20"/>
          <w:szCs w:val="20"/>
        </w:rPr>
        <w:t xml:space="preserve">Capabilities that are absent or only partly present, with nothing in the project stating what was intended. These are gaps to raise with the business, not defects to log against the build.</w:t>
      </w:r>
    </w:p>
    <w:tbl>
      <w:tblPr>
        <w:tblW w:type="dxa" w:w="9360"/>
        <w:tblBorders>
          <w:top w:val="single" w:color="1F3864" w:sz="4"/>
          <w:left w:val="single" w:color="C9D6E3" w:sz="2"/>
          <w:bottom w:val="single" w:color="1F3864" w:sz="4"/>
          <w:right w:val="single" w:color="C9D6E3" w:sz="2"/>
          <w:insideH w:val="single" w:color="D8E2EC" w:sz="2"/>
          <w:insideV w:val="single" w:color="D8E2EC" w:sz="2"/>
        </w:tblBorders>
      </w:tblPr>
      <w:tblGrid>
        <w:gridCol w:w="1700"/>
        <w:gridCol w:w="4200"/>
        <w:gridCol w:w="3460"/>
      </w:tblGrid>
      <w:tr>
        <w:trPr>
          <w:tblHeader/>
        </w:trPr>
        <w:tc>
          <w:tcPr>
            <w:tcW w:type="dxa" w:w="1700"/>
            <w:shd w:fill="1F3864" w:val="clear"/>
            <w:tcMar>
              <w:top w:type="dxa" w:w="70"/>
              <w:left w:type="dxa" w:w="110"/>
              <w:bottom w:type="dxa" w:w="70"/>
              <w:right w:type="dxa" w:w="110"/>
            </w:tcMar>
          </w:tcPr>
          <w:p>
            <w:pPr>
              <w:spacing w:after="0"/>
            </w:pPr>
            <w:r>
              <w:rPr>
                <w:b/>
                <w:bCs/>
                <w:i w:val="false"/>
                <w:iCs w:val="false"/>
                <w:color w:val="FFFFFF"/>
                <w:sz w:val="18"/>
                <w:szCs w:val="18"/>
              </w:rPr>
              <w:t xml:space="preserve">Area</w:t>
            </w:r>
          </w:p>
        </w:tc>
        <w:tc>
          <w:tcPr>
            <w:tcW w:type="dxa" w:w="4200"/>
            <w:shd w:fill="1F3864" w:val="clear"/>
            <w:tcMar>
              <w:top w:type="dxa" w:w="70"/>
              <w:left w:type="dxa" w:w="110"/>
              <w:bottom w:type="dxa" w:w="70"/>
              <w:right w:type="dxa" w:w="110"/>
            </w:tcMar>
          </w:tcPr>
          <w:p>
            <w:pPr>
              <w:spacing w:after="0"/>
            </w:pPr>
            <w:r>
              <w:rPr>
                <w:b/>
                <w:bCs/>
                <w:i w:val="false"/>
                <w:iCs w:val="false"/>
                <w:color w:val="FFFFFF"/>
                <w:sz w:val="18"/>
                <w:szCs w:val="18"/>
              </w:rPr>
              <w:t xml:space="preserve">What is missing</w:t>
            </w:r>
          </w:p>
        </w:tc>
        <w:tc>
          <w:tcPr>
            <w:tcW w:type="dxa" w:w="3460"/>
            <w:shd w:fill="1F3864" w:val="clear"/>
            <w:tcMar>
              <w:top w:type="dxa" w:w="70"/>
              <w:left w:type="dxa" w:w="110"/>
              <w:bottom w:type="dxa" w:w="70"/>
              <w:right w:type="dxa" w:w="110"/>
            </w:tcMar>
          </w:tcPr>
          <w:p>
            <w:pPr>
              <w:spacing w:after="0"/>
            </w:pPr>
            <w:r>
              <w:rPr>
                <w:b/>
                <w:bCs/>
                <w:i w:val="false"/>
                <w:iCs w:val="false"/>
                <w:color w:val="FFFFFF"/>
                <w:sz w:val="18"/>
                <w:szCs w:val="18"/>
              </w:rPr>
              <w:t xml:space="preserve">Why it matters to QA</w:t>
            </w:r>
          </w:p>
        </w:tc>
      </w:tr>
      <w:tr>
        <w:tc>
          <w:tcPr>
            <w:tcW w:type="dxa" w:w="1700"/>
            <w:shd w:fill="FFFFFF" w:val="clear"/>
            <w:tcMar>
              <w:top w:type="dxa" w:w="70"/>
              <w:left w:type="dxa" w:w="110"/>
              <w:bottom w:type="dxa" w:w="70"/>
              <w:right w:type="dxa" w:w="110"/>
            </w:tcMar>
          </w:tcPr>
          <w:p>
            <w:pPr>
              <w:spacing w:after="0"/>
            </w:pPr>
            <w:r>
              <w:rPr>
                <w:b/>
                <w:bCs/>
                <w:i w:val="false"/>
                <w:iCs w:val="false"/>
                <w:color w:val="000000"/>
                <w:sz w:val="18"/>
                <w:szCs w:val="18"/>
              </w:rPr>
              <w:t xml:space="preserve">Search</w:t>
            </w:r>
          </w:p>
        </w:tc>
        <w:tc>
          <w:tcPr>
            <w:tcW w:type="dxa" w:w="4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There is no search anywhere — not on Models, Users, the audit log or import history.</w:t>
            </w:r>
          </w:p>
        </w:tc>
        <w:tc>
          <w:tcPr>
            <w:tcW w:type="dxa" w:w="34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 acceptance criteria exist for search, so it cannot be tested. Confirm whether it is out of scope.</w:t>
            </w:r>
          </w:p>
        </w:tc>
      </w:tr>
      <w:tr>
        <w:tc>
          <w:tcPr>
            <w:tcW w:type="dxa" w:w="1700"/>
            <w:shd w:fill="F7F9FC" w:val="clear"/>
            <w:tcMar>
              <w:top w:type="dxa" w:w="70"/>
              <w:left w:type="dxa" w:w="110"/>
              <w:bottom w:type="dxa" w:w="70"/>
              <w:right w:type="dxa" w:w="110"/>
            </w:tcMar>
          </w:tcPr>
          <w:p>
            <w:pPr>
              <w:spacing w:after="0"/>
            </w:pPr>
            <w:r>
              <w:rPr>
                <w:b/>
                <w:bCs/>
                <w:i w:val="false"/>
                <w:iCs w:val="false"/>
                <w:color w:val="000000"/>
                <w:sz w:val="18"/>
                <w:szCs w:val="18"/>
              </w:rPr>
              <w:t xml:space="preserve">Sorting</w:t>
            </w:r>
          </w:p>
        </w:tc>
        <w:tc>
          <w:tcPr>
            <w:tcW w:type="dxa" w:w="4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 column anywhere is sortable. Every list has one fixed order.</w:t>
            </w:r>
          </w:p>
        </w:tc>
        <w:tc>
          <w:tcPr>
            <w:tcW w:type="dxa" w:w="34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Same — nothing to test against, but users will ask.</w:t>
            </w:r>
          </w:p>
        </w:tc>
      </w:tr>
      <w:tr>
        <w:tc>
          <w:tcPr>
            <w:tcW w:type="dxa" w:w="1700"/>
            <w:shd w:fill="FFFFFF" w:val="clear"/>
            <w:tcMar>
              <w:top w:type="dxa" w:w="70"/>
              <w:left w:type="dxa" w:w="110"/>
              <w:bottom w:type="dxa" w:w="70"/>
              <w:right w:type="dxa" w:w="110"/>
            </w:tcMar>
          </w:tcPr>
          <w:p>
            <w:pPr>
              <w:spacing w:after="0"/>
            </w:pPr>
            <w:r>
              <w:rPr>
                <w:b/>
                <w:bCs/>
                <w:i w:val="false"/>
                <w:iCs w:val="false"/>
                <w:color w:val="000000"/>
                <w:sz w:val="18"/>
                <w:szCs w:val="18"/>
              </w:rPr>
              <w:t xml:space="preserve">Pagination</w:t>
            </w:r>
          </w:p>
        </w:tc>
        <w:tc>
          <w:tcPr>
            <w:tcW w:type="dxa" w:w="4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Nothing is paginated. Fixed caps are used instead: 30 audit entries, 12 import history rows. Pending imports and model lists are unbounded.</w:t>
            </w:r>
          </w:p>
        </w:tc>
        <w:tc>
          <w:tcPr>
            <w:tcW w:type="dxa" w:w="34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Behaviour with a large data volume is undefined. Worth a load test, but there is no stated limit to test against.</w:t>
            </w:r>
          </w:p>
        </w:tc>
      </w:tr>
      <w:tr>
        <w:tc>
          <w:tcPr>
            <w:tcW w:type="dxa" w:w="1700"/>
            <w:shd w:fill="F7F9FC" w:val="clear"/>
            <w:tcMar>
              <w:top w:type="dxa" w:w="70"/>
              <w:left w:type="dxa" w:w="110"/>
              <w:bottom w:type="dxa" w:w="70"/>
              <w:right w:type="dxa" w:w="110"/>
            </w:tcMar>
          </w:tcPr>
          <w:p>
            <w:pPr>
              <w:spacing w:after="0"/>
            </w:pPr>
            <w:r>
              <w:rPr>
                <w:b/>
                <w:bCs/>
                <w:i w:val="false"/>
                <w:iCs w:val="false"/>
                <w:color w:val="000000"/>
                <w:sz w:val="18"/>
                <w:szCs w:val="18"/>
              </w:rPr>
              <w:t xml:space="preserve">Audit visibility</w:t>
            </w:r>
          </w:p>
        </w:tc>
        <w:tc>
          <w:tcPr>
            <w:tcW w:type="dxa" w:w="4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Only the last 30 entries for the ACTIVE model are ever visible, on /account. There is no full audit view, no filter, no export, and no way to see another model's history.</w:t>
            </w:r>
          </w:p>
        </w:tc>
        <w:tc>
          <w:tcPr>
            <w:tcW w:type="dxa" w:w="34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Auditability is usually a stated requirement for a finance system. Confirm what is actually required.</w:t>
            </w:r>
          </w:p>
        </w:tc>
      </w:tr>
      <w:tr>
        <w:tc>
          <w:tcPr>
            <w:tcW w:type="dxa" w:w="1700"/>
            <w:shd w:fill="FFFFFF" w:val="clear"/>
            <w:tcMar>
              <w:top w:type="dxa" w:w="70"/>
              <w:left w:type="dxa" w:w="110"/>
              <w:bottom w:type="dxa" w:w="70"/>
              <w:right w:type="dxa" w:w="110"/>
            </w:tcMar>
          </w:tcPr>
          <w:p>
            <w:pPr>
              <w:spacing w:after="0"/>
            </w:pPr>
            <w:r>
              <w:rPr>
                <w:b/>
                <w:bCs/>
                <w:i w:val="false"/>
                <w:iCs w:val="false"/>
                <w:color w:val="000000"/>
                <w:sz w:val="18"/>
                <w:szCs w:val="18"/>
              </w:rPr>
              <w:t xml:space="preserve">Delete a company</w:t>
            </w:r>
          </w:p>
        </w:tc>
        <w:tc>
          <w:tcPr>
            <w:tcW w:type="dxa" w:w="4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 UI exists. The database would cascade, but nothing in the product exposes it.</w:t>
            </w:r>
          </w:p>
        </w:tc>
        <w:tc>
          <w:tcPr>
            <w:tcW w:type="dxa" w:w="34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Company lifecycle is undefined beyond creation and editing.</w:t>
            </w:r>
          </w:p>
        </w:tc>
      </w:tr>
      <w:tr>
        <w:tc>
          <w:tcPr>
            <w:tcW w:type="dxa" w:w="1700"/>
            <w:shd w:fill="F7F9FC" w:val="clear"/>
            <w:tcMar>
              <w:top w:type="dxa" w:w="70"/>
              <w:left w:type="dxa" w:w="110"/>
              <w:bottom w:type="dxa" w:w="70"/>
              <w:right w:type="dxa" w:w="110"/>
            </w:tcMar>
          </w:tcPr>
          <w:p>
            <w:pPr>
              <w:spacing w:after="0"/>
            </w:pPr>
            <w:r>
              <w:rPr>
                <w:b/>
                <w:bCs/>
                <w:i w:val="false"/>
                <w:iCs w:val="false"/>
                <w:color w:val="000000"/>
                <w:sz w:val="18"/>
                <w:szCs w:val="18"/>
              </w:rPr>
              <w:t xml:space="preserve">Delete a user</w:t>
            </w:r>
          </w:p>
        </w:tc>
        <w:tc>
          <w:tcPr>
            <w:tcW w:type="dxa" w:w="4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 UI exists. A user can only be deactivated.</w:t>
            </w:r>
          </w:p>
        </w:tc>
        <w:tc>
          <w:tcPr>
            <w:tcW w:type="dxa" w:w="34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Confirm whether deactivation is the intended permanent state.</w:t>
            </w:r>
          </w:p>
        </w:tc>
      </w:tr>
      <w:tr>
        <w:tc>
          <w:tcPr>
            <w:tcW w:type="dxa" w:w="1700"/>
            <w:shd w:fill="FFFFFF" w:val="clear"/>
            <w:tcMar>
              <w:top w:type="dxa" w:w="70"/>
              <w:left w:type="dxa" w:w="110"/>
              <w:bottom w:type="dxa" w:w="70"/>
              <w:right w:type="dxa" w:w="110"/>
            </w:tcMar>
          </w:tcPr>
          <w:p>
            <w:pPr>
              <w:spacing w:after="0"/>
            </w:pPr>
            <w:r>
              <w:rPr>
                <w:b/>
                <w:bCs/>
                <w:i w:val="false"/>
                <w:iCs w:val="false"/>
                <w:color w:val="000000"/>
                <w:sz w:val="18"/>
                <w:szCs w:val="18"/>
              </w:rPr>
              <w:t xml:space="preserve">Self-service password</w:t>
            </w:r>
          </w:p>
        </w:tc>
        <w:tc>
          <w:tcPr>
            <w:tcW w:type="dxa" w:w="4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 change-password, no forgotten-password, no email of any kind. The system sends no email at all.</w:t>
            </w:r>
          </w:p>
        </w:tc>
        <w:tc>
          <w:tcPr>
            <w:tcW w:type="dxa" w:w="34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Account recovery is entirely undefined. See D4.</w:t>
            </w:r>
          </w:p>
        </w:tc>
      </w:tr>
      <w:tr>
        <w:tc>
          <w:tcPr>
            <w:tcW w:type="dxa" w:w="1700"/>
            <w:shd w:fill="F7F9FC" w:val="clear"/>
            <w:tcMar>
              <w:top w:type="dxa" w:w="70"/>
              <w:left w:type="dxa" w:w="110"/>
              <w:bottom w:type="dxa" w:w="70"/>
              <w:right w:type="dxa" w:w="110"/>
            </w:tcMar>
          </w:tcPr>
          <w:p>
            <w:pPr>
              <w:spacing w:after="0"/>
            </w:pPr>
            <w:r>
              <w:rPr>
                <w:b/>
                <w:bCs/>
                <w:i w:val="false"/>
                <w:iCs w:val="false"/>
                <w:color w:val="000000"/>
                <w:sz w:val="18"/>
                <w:szCs w:val="18"/>
              </w:rPr>
              <w:t xml:space="preserve">Periodicity</w:t>
            </w:r>
          </w:p>
        </w:tc>
        <w:tc>
          <w:tcPr>
            <w:tcW w:type="dxa" w:w="4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database carries periodicity (annual / quarterly / monthly) and a start month. Neither is exposed in the interface and neither is read by the engine — everything is annual.</w:t>
            </w:r>
          </w:p>
        </w:tc>
        <w:tc>
          <w:tcPr>
            <w:tcW w:type="dxa" w:w="34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Confirm annual-only is the intended scope for this release, so quarterly test cases are not written.</w:t>
            </w:r>
          </w:p>
        </w:tc>
      </w:tr>
      <w:tr>
        <w:tc>
          <w:tcPr>
            <w:tcW w:type="dxa" w:w="1700"/>
            <w:shd w:fill="FFFFFF" w:val="clear"/>
            <w:tcMar>
              <w:top w:type="dxa" w:w="70"/>
              <w:left w:type="dxa" w:w="110"/>
              <w:bottom w:type="dxa" w:w="70"/>
              <w:right w:type="dxa" w:w="110"/>
            </w:tcMar>
          </w:tcPr>
          <w:p>
            <w:pPr>
              <w:spacing w:after="0"/>
            </w:pPr>
            <w:r>
              <w:rPr>
                <w:b/>
                <w:bCs/>
                <w:i w:val="false"/>
                <w:iCs w:val="false"/>
                <w:color w:val="000000"/>
                <w:sz w:val="18"/>
                <w:szCs w:val="18"/>
              </w:rPr>
              <w:t xml:space="preserve">Locked forecast versions</w:t>
            </w:r>
          </w:p>
        </w:tc>
        <w:tc>
          <w:tcPr>
            <w:tcW w:type="dxa" w:w="4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There is no actual-versus-forecast variance tracking. Closing a model freezes it, but nothing compares a later actual against it.</w:t>
            </w:r>
          </w:p>
        </w:tc>
        <w:tc>
          <w:tcPr>
            <w:tcW w:type="dxa" w:w="34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A commonly expected feature in this class of tool. Confirm it is out of scope.</w:t>
            </w:r>
          </w:p>
        </w:tc>
      </w:tr>
      <w:tr>
        <w:tc>
          <w:tcPr>
            <w:tcW w:type="dxa" w:w="1700"/>
            <w:shd w:fill="F7F9FC" w:val="clear"/>
            <w:tcMar>
              <w:top w:type="dxa" w:w="70"/>
              <w:left w:type="dxa" w:w="110"/>
              <w:bottom w:type="dxa" w:w="70"/>
              <w:right w:type="dxa" w:w="110"/>
            </w:tcMar>
          </w:tcPr>
          <w:p>
            <w:pPr>
              <w:spacing w:after="0"/>
            </w:pPr>
            <w:r>
              <w:rPr>
                <w:b/>
                <w:bCs/>
                <w:i w:val="false"/>
                <w:iCs w:val="false"/>
                <w:color w:val="000000"/>
                <w:sz w:val="18"/>
                <w:szCs w:val="18"/>
              </w:rPr>
              <w:t xml:space="preserve">Not modelled at all</w:t>
            </w:r>
          </w:p>
        </w:tc>
        <w:tc>
          <w:tcPr>
            <w:tcW w:type="dxa" w:w="4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DCF and valuation, IFRS 16 leases as a liability, VAT, deferred tax, group consolidation with intercompany eliminations across legal entities, and multiple currencies within one model.</w:t>
            </w:r>
          </w:p>
        </w:tc>
        <w:tc>
          <w:tcPr>
            <w:tcW w:type="dxa" w:w="34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The README states these are known limitations. Confirm the list is still current so QA does not test for them.</w:t>
            </w:r>
          </w:p>
        </w:tc>
      </w:tr>
      <w:tr>
        <w:tc>
          <w:tcPr>
            <w:tcW w:type="dxa" w:w="1700"/>
            <w:shd w:fill="FFFFFF" w:val="clear"/>
            <w:tcMar>
              <w:top w:type="dxa" w:w="70"/>
              <w:left w:type="dxa" w:w="110"/>
              <w:bottom w:type="dxa" w:w="70"/>
              <w:right w:type="dxa" w:w="110"/>
            </w:tcMar>
          </w:tcPr>
          <w:p>
            <w:pPr>
              <w:spacing w:after="0"/>
            </w:pPr>
            <w:r>
              <w:rPr>
                <w:b/>
                <w:bCs/>
                <w:i w:val="false"/>
                <w:iCs w:val="false"/>
                <w:color w:val="000000"/>
                <w:sz w:val="18"/>
                <w:szCs w:val="18"/>
              </w:rPr>
              <w:t xml:space="preserve">PDF export</w:t>
            </w:r>
          </w:p>
        </w:tc>
        <w:tc>
          <w:tcPr>
            <w:tcW w:type="dxa" w:w="4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None. The Report is a printable web page; the only file exports are CSV and the XLSX templates.</w:t>
            </w:r>
          </w:p>
        </w:tc>
        <w:tc>
          <w:tcPr>
            <w:tcW w:type="dxa" w:w="34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Confirm browser printing satisfies the requirement.</w:t>
            </w:r>
          </w:p>
        </w:tc>
      </w:tr>
      <w:tr>
        <w:tc>
          <w:tcPr>
            <w:tcW w:type="dxa" w:w="1700"/>
            <w:shd w:fill="F7F9FC" w:val="clear"/>
            <w:tcMar>
              <w:top w:type="dxa" w:w="70"/>
              <w:left w:type="dxa" w:w="110"/>
              <w:bottom w:type="dxa" w:w="70"/>
              <w:right w:type="dxa" w:w="110"/>
            </w:tcMar>
          </w:tcPr>
          <w:p>
            <w:pPr>
              <w:spacing w:after="0"/>
            </w:pPr>
            <w:r>
              <w:rPr>
                <w:b/>
                <w:bCs/>
                <w:i w:val="false"/>
                <w:iCs w:val="false"/>
                <w:color w:val="000000"/>
                <w:sz w:val="18"/>
                <w:szCs w:val="18"/>
              </w:rPr>
              <w:t xml:space="preserve">Import coverage</w:t>
            </w:r>
          </w:p>
        </w:tc>
        <w:tc>
          <w:tcPr>
            <w:tcW w:type="dxa" w:w="4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Only historical revenue / cost of sales / S&amp;D / G&amp;A and the growth and cost drivers can be imported. Depreciation and capex actuals, the opening balance sheet, debt and initiatives cannot.</w:t>
            </w:r>
          </w:p>
        </w:tc>
        <w:tc>
          <w:tcPr>
            <w:tcW w:type="dxa" w:w="34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Users with large models will expect more. Confirm the intended scope.</w:t>
            </w:r>
          </w:p>
        </w:tc>
      </w:tr>
      <w:tr>
        <w:tc>
          <w:tcPr>
            <w:tcW w:type="dxa" w:w="1700"/>
            <w:shd w:fill="FFFFFF" w:val="clear"/>
            <w:tcMar>
              <w:top w:type="dxa" w:w="70"/>
              <w:left w:type="dxa" w:w="110"/>
              <w:bottom w:type="dxa" w:w="70"/>
              <w:right w:type="dxa" w:w="110"/>
            </w:tcMar>
          </w:tcPr>
          <w:p>
            <w:pPr>
              <w:spacing w:after="0"/>
            </w:pPr>
            <w:r>
              <w:rPr>
                <w:b/>
                <w:bCs/>
                <w:i w:val="false"/>
                <w:iCs w:val="false"/>
                <w:color w:val="000000"/>
                <w:sz w:val="18"/>
                <w:szCs w:val="18"/>
              </w:rPr>
              <w:t xml:space="preserve">Concurrency</w:t>
            </w:r>
          </w:p>
        </w:tc>
        <w:tc>
          <w:tcPr>
            <w:tcW w:type="dxa" w:w="4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Nothing prevents two users editing the same model at once. There is no locking, no version check and no "changed by someone else" warning. Last save wins, and on the replace-all steps that means one user's whole set overwrites the other's.</w:t>
            </w:r>
          </w:p>
        </w:tc>
        <w:tc>
          <w:tcPr>
            <w:tcW w:type="dxa" w:w="3460"/>
            <w:shd w:fill="FFFFFF" w:val="clear"/>
            <w:tcMar>
              <w:top w:type="dxa" w:w="70"/>
              <w:left w:type="dxa" w:w="110"/>
              <w:bottom w:type="dxa" w:w="70"/>
              <w:right w:type="dxa" w:w="110"/>
            </w:tcMar>
          </w:tcPr>
          <w:p>
            <w:pPr>
              <w:spacing w:after="0"/>
            </w:pPr>
            <w:r>
              <w:rPr>
                <w:b/>
                <w:bCs/>
                <w:i w:val="false"/>
                <w:iCs w:val="false"/>
                <w:color w:val="000000"/>
                <w:sz w:val="18"/>
                <w:szCs w:val="18"/>
              </w:rPr>
              <w:t xml:space="preserve">A real risk on the replace-all screens (facilities, initiatives, assets). No requirement exists, so QA cannot say what should happen — but it should be raised.</w:t>
            </w:r>
          </w:p>
        </w:tc>
      </w:tr>
      <w:tr>
        <w:tc>
          <w:tcPr>
            <w:tcW w:type="dxa" w:w="1700"/>
            <w:shd w:fill="F7F9FC" w:val="clear"/>
            <w:tcMar>
              <w:top w:type="dxa" w:w="70"/>
              <w:left w:type="dxa" w:w="110"/>
              <w:bottom w:type="dxa" w:w="70"/>
              <w:right w:type="dxa" w:w="110"/>
            </w:tcMar>
          </w:tcPr>
          <w:p>
            <w:pPr>
              <w:spacing w:after="0"/>
            </w:pPr>
            <w:r>
              <w:rPr>
                <w:b/>
                <w:bCs/>
                <w:i w:val="false"/>
                <w:iCs w:val="false"/>
                <w:color w:val="000000"/>
                <w:sz w:val="18"/>
                <w:szCs w:val="18"/>
              </w:rPr>
              <w:t xml:space="preserve">Accessibility</w:t>
            </w:r>
          </w:p>
        </w:tc>
        <w:tc>
          <w:tcPr>
            <w:tcW w:type="dxa" w:w="4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ARIA labels are present on form fields and charts carry text alternatives, but there is no stated WCAG target and no evidence of an accessibility audit.</w:t>
            </w:r>
          </w:p>
        </w:tc>
        <w:tc>
          <w:tcPr>
            <w:tcW w:type="dxa" w:w="34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 standard to test against. Confirm whether a level is required.</w:t>
            </w:r>
          </w:p>
        </w:tc>
      </w:tr>
      <w:tr>
        <w:tc>
          <w:tcPr>
            <w:tcW w:type="dxa" w:w="1700"/>
            <w:shd w:fill="FFFFFF" w:val="clear"/>
            <w:tcMar>
              <w:top w:type="dxa" w:w="70"/>
              <w:left w:type="dxa" w:w="110"/>
              <w:bottom w:type="dxa" w:w="70"/>
              <w:right w:type="dxa" w:w="110"/>
            </w:tcMar>
          </w:tcPr>
          <w:p>
            <w:pPr>
              <w:spacing w:after="0"/>
            </w:pPr>
            <w:r>
              <w:rPr>
                <w:b/>
                <w:bCs/>
                <w:i w:val="false"/>
                <w:iCs w:val="false"/>
                <w:color w:val="000000"/>
                <w:sz w:val="18"/>
                <w:szCs w:val="18"/>
              </w:rPr>
              <w:t xml:space="preserve">Performance</w:t>
            </w:r>
          </w:p>
        </w:tc>
        <w:tc>
          <w:tcPr>
            <w:tcW w:type="dxa" w:w="420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 stated response-time target. Every output page recalculates the whole model; the Sensitivity screen runs the engine 17 times.</w:t>
            </w:r>
          </w:p>
        </w:tc>
        <w:tc>
          <w:tcPr>
            <w:tcW w:type="dxa" w:w="3460"/>
            <w:shd w:fill="FFFFFF" w:val="clear"/>
            <w:tcMar>
              <w:top w:type="dxa" w:w="70"/>
              <w:left w:type="dxa" w:w="110"/>
              <w:bottom w:type="dxa" w:w="70"/>
              <w:right w:type="dxa" w:w="110"/>
            </w:tcMar>
          </w:tcPr>
          <w:p>
            <w:pPr>
              <w:spacing w:after="0"/>
            </w:pPr>
            <w:r>
              <w:rPr>
                <w:b w:val="false"/>
                <w:bCs w:val="false"/>
                <w:i w:val="false"/>
                <w:iCs w:val="false"/>
                <w:color w:val="000000"/>
                <w:sz w:val="18"/>
                <w:szCs w:val="18"/>
              </w:rPr>
              <w:t xml:space="preserve">Nothing to pass or fail against. Propose a target — Sensitivity and a 60-unit model are the two worst cases.</w:t>
            </w:r>
          </w:p>
        </w:tc>
      </w:tr>
      <w:tr>
        <w:tc>
          <w:tcPr>
            <w:tcW w:type="dxa" w:w="1700"/>
            <w:shd w:fill="F7F9FC" w:val="clear"/>
            <w:tcMar>
              <w:top w:type="dxa" w:w="70"/>
              <w:left w:type="dxa" w:w="110"/>
              <w:bottom w:type="dxa" w:w="70"/>
              <w:right w:type="dxa" w:w="110"/>
            </w:tcMar>
          </w:tcPr>
          <w:p>
            <w:pPr>
              <w:spacing w:after="0"/>
            </w:pPr>
            <w:r>
              <w:rPr>
                <w:b/>
                <w:bCs/>
                <w:i w:val="false"/>
                <w:iCs w:val="false"/>
                <w:color w:val="000000"/>
                <w:sz w:val="18"/>
                <w:szCs w:val="18"/>
              </w:rPr>
              <w:t xml:space="preserve">Browser support</w:t>
            </w:r>
          </w:p>
        </w:tc>
        <w:tc>
          <w:tcPr>
            <w:tcW w:type="dxa" w:w="420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Not stated anywhere. The code uses the dialog element and modern JavaScript.</w:t>
            </w:r>
          </w:p>
        </w:tc>
        <w:tc>
          <w:tcPr>
            <w:tcW w:type="dxa" w:w="3460"/>
            <w:shd w:fill="F7F9FC" w:val="clear"/>
            <w:tcMar>
              <w:top w:type="dxa" w:w="70"/>
              <w:left w:type="dxa" w:w="110"/>
              <w:bottom w:type="dxa" w:w="70"/>
              <w:right w:type="dxa" w:w="110"/>
            </w:tcMar>
          </w:tcPr>
          <w:p>
            <w:pPr>
              <w:spacing w:after="0"/>
            </w:pPr>
            <w:r>
              <w:rPr>
                <w:b w:val="false"/>
                <w:bCs w:val="false"/>
                <w:i w:val="false"/>
                <w:iCs w:val="false"/>
                <w:color w:val="000000"/>
                <w:sz w:val="18"/>
                <w:szCs w:val="18"/>
              </w:rPr>
              <w:t xml:space="preserve">Confirm the supported browser matrix before writing cross-browser cases.</w:t>
            </w:r>
          </w:p>
        </w:tc>
      </w:tr>
    </w:tbl>
    <w:p>
      <w:pPr>
        <w:spacing w:after="120"/>
      </w:pPr>
    </w:p>
    <w:p>
      <w:pPr>
        <w:pStyle w:val="Heading2"/>
        <w:spacing w:after="120" w:before="280"/>
      </w:pPr>
      <w:r>
        <w:t xml:space="preserve">7.4  What could not be verified in preparing this document</w:t>
      </w:r>
    </w:p>
    <w:p>
      <w:pPr>
        <w:pStyle w:val="ListParagraph"/>
        <w:numPr>
          <w:ilvl w:val="0"/>
          <w:numId w:val="3"/>
        </w:numPr>
        <w:spacing w:after="60"/>
      </w:pPr>
      <w:r>
        <w:rPr>
          <w:sz w:val="20"/>
          <w:szCs w:val="20"/>
        </w:rPr>
        <w:t xml:space="preserve">Multi-company behaviour was exercised against a single seeded company. Tenant isolation is enforced consistently in the code — every query is scoped and every id re-validated — but a genuine two-company test was not run. Treat cross-tenant isolation as reviewed, not proven, and test it explicitly.</w:t>
      </w:r>
    </w:p>
    <w:p>
      <w:pPr>
        <w:pStyle w:val="ListParagraph"/>
        <w:numPr>
          <w:ilvl w:val="0"/>
          <w:numId w:val="3"/>
        </w:numPr>
        <w:spacing w:after="60"/>
      </w:pPr>
      <w:r>
        <w:rPr>
          <w:sz w:val="20"/>
          <w:szCs w:val="20"/>
        </w:rPr>
        <w:t xml:space="preserve">The model close / reopen flow was not exercised end to end, because of the schema question in D2.</w:t>
      </w:r>
    </w:p>
    <w:p>
      <w:pPr>
        <w:pStyle w:val="ListParagraph"/>
        <w:numPr>
          <w:ilvl w:val="0"/>
          <w:numId w:val="3"/>
        </w:numPr>
        <w:spacing w:after="60"/>
      </w:pPr>
      <w:r>
        <w:rPr>
          <w:sz w:val="20"/>
          <w:szCs w:val="20"/>
        </w:rPr>
        <w:t xml:space="preserve">ERP extraction was not tested against a live endpoint. The seeded connection is inactive and points at a placeholder URL, by design.</w:t>
      </w:r>
    </w:p>
    <w:p>
      <w:pPr>
        <w:pStyle w:val="ListParagraph"/>
        <w:numPr>
          <w:ilvl w:val="0"/>
          <w:numId w:val="3"/>
        </w:numPr>
        <w:spacing w:after="60"/>
      </w:pPr>
      <w:r>
        <w:rPr>
          <w:sz w:val="20"/>
          <w:szCs w:val="20"/>
        </w:rPr>
        <w:t xml:space="preserve">AI commentary was not tested with a provider key. No key is configured, so every screen currently uses the deterministic writer.</w:t>
      </w:r>
    </w:p>
    <w:p>
      <w:pPr>
        <w:pStyle w:val="ListParagraph"/>
        <w:numPr>
          <w:ilvl w:val="0"/>
          <w:numId w:val="3"/>
        </w:numPr>
        <w:spacing w:after="60"/>
      </w:pPr>
      <w:r>
        <w:rPr>
          <w:sz w:val="20"/>
          <w:szCs w:val="20"/>
        </w:rPr>
        <w:t xml:space="preserve">Arabic was reviewed through the project's own audit scripts rather than by reading every screen in Arabic. Do a visual pass, particularly on the input forms in right-to-left.</w:t>
      </w:r>
    </w:p>
    <w:p>
      <w:pPr>
        <w:pStyle w:val="ListParagraph"/>
        <w:numPr>
          <w:ilvl w:val="0"/>
          <w:numId w:val="3"/>
        </w:numPr>
        <w:spacing w:after="60"/>
      </w:pPr>
      <w:r>
        <w:rPr>
          <w:sz w:val="20"/>
          <w:szCs w:val="20"/>
        </w:rPr>
        <w:t xml:space="preserve">Responsive layout was reviewed from the stylesheet and the templates, not measured in a browser at each breakpoint.</w:t>
      </w:r>
    </w:p>
    <w:p>
      <w:pPr>
        <w:pStyle w:val="ListParagraph"/>
        <w:numPr>
          <w:ilvl w:val="0"/>
          <w:numId w:val="3"/>
        </w:numPr>
        <w:spacing w:after="60"/>
      </w:pPr>
      <w:r>
        <w:rPr>
          <w:sz w:val="20"/>
          <w:szCs w:val="20"/>
        </w:rPr>
        <w:t xml:space="preserve">Browser-side behaviour — undo/redo, live totals, the money formatter's caret handling, chart hover — was read from the source rather than exercised. All of it needs manual confirmation.</w:t>
      </w:r>
    </w:p>
    <w:p>
      <w:pPr>
        <w:spacing w:after="120"/>
      </w:pPr>
    </w:p>
    <w:tbl>
      <w:tblPr>
        <w:tblW w:type="dxa" w:w="9360"/>
        <w:tblBorders>
          <w:top w:val="single" w:color="D5DEE8" w:sz="2"/>
          <w:left w:val="single" w:color="D48806" w:sz="12"/>
          <w:bottom w:val="single" w:color="D5DEE8" w:sz="2"/>
          <w:right w:val="single" w:color="D5DEE8" w:sz="2"/>
          <w:insideH w:val="none"/>
          <w:insideV w:val="none"/>
        </w:tblBorders>
      </w:tblPr>
      <w:tblGrid>
        <w:gridCol w:w="9360"/>
      </w:tblGrid>
      <w:tr>
        <w:tc>
          <w:tcPr>
            <w:tcW w:type="dxa" w:w="9360"/>
            <w:shd w:fill="FFF4E0" w:val="clear"/>
            <w:tcMar>
              <w:top w:type="dxa" w:w="120"/>
              <w:left w:type="dxa" w:w="180"/>
              <w:bottom w:type="dxa" w:w="120"/>
              <w:right w:type="dxa" w:w="180"/>
            </w:tcMar>
          </w:tcPr>
          <w:p>
            <w:pPr>
              <w:spacing w:after="60"/>
            </w:pPr>
            <w:r>
              <w:rPr>
                <w:b/>
                <w:bCs/>
                <w:color w:val="1F3864"/>
                <w:sz w:val="20"/>
                <w:szCs w:val="20"/>
              </w:rPr>
              <w:t xml:space="preserve">One note on the test database</w:t>
            </w:r>
          </w:p>
          <w:p>
            <w:pPr>
              <w:spacing w:after="60"/>
            </w:pPr>
            <w:r>
              <w:rPr>
                <w:sz w:val="19"/>
                <w:szCs w:val="19"/>
              </w:rPr>
              <w:t xml:space="preserve">During the preparation of this document, a permission test posted to the step-1 save endpoint on the seeded demonstration model (id 1) and, because that step replaces the whole business-unit list, it deleted the model's four business units along with their actuals, drivers and initiatives by cascade.</w:t>
            </w:r>
          </w:p>
          <w:p>
            <w:pPr>
              <w:spacing w:after="60"/>
            </w:pPr>
            <w:r>
              <w:rPr>
                <w:sz w:val="19"/>
                <w:szCs w:val="19"/>
              </w:rPr>
              <w:t xml:space="preserve">The other four seeded models are untouched and hold complete copies of the same data. Model 1's project-level data — assumptions, opening balances, debt, taxes, provisions and capex assets — also survived; only the unit-level data was lost.</w:t>
            </w:r>
          </w:p>
          <w:p>
            <w:pPr>
              <w:spacing w:after="60"/>
            </w:pPr>
            <w:r>
              <w:rPr>
                <w:sz w:val="19"/>
                <w:szCs w:val="19"/>
              </w:rPr>
              <w:t xml:space="preserve">Restore it by re-running npm run db:install, or by re-entering the four units and their figures from app/db/seed-data.js. Until then, npm run verify will report failures against model 1 that are an artefact of the empty model rather than defects.</w:t>
            </w:r>
          </w:p>
          <w:p>
            <w:pPr>
              <w:spacing w:after="0"/>
            </w:pPr>
            <w:r>
              <w:rPr>
                <w:sz w:val="19"/>
                <w:szCs w:val="19"/>
              </w:rPr>
              <w:t xml:space="preserve">It is worth noting that this is exactly the behaviour described in U1: one ordinary POST, no confirmation, and a populated model was emptied.</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7A8896"/>
        <w:sz w:val="16"/>
        <w:szCs w:val="16"/>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D6E3" w:sz="4" w:space="6"/>
      </w:pBdr>
      <w:spacing w:after="60"/>
      <w:jc w:val="right"/>
    </w:pPr>
    <w:r>
      <w:rPr>
        <w:color w:val="7A8896"/>
        <w:sz w:val="16"/>
        <w:szCs w:val="16"/>
      </w:rPr>
      <w:t xml:space="preserve">Finance Model — QA Requirements &amp; Testing Reference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20"/>
      </w:pPr>
    </w:lvl>
    <w:lvl w:ilvl="1" w15:tentative="1">
      <w:start w:val="1"/>
      <w:numFmt w:val="bullet"/>
      <w:lvlText w:val="◦"/>
      <w:lvlJc w:val="left"/>
      <w:pPr>
        <w:ind w:left="760" w:hanging="220"/>
      </w:pPr>
    </w:lvl>
  </w:abstractNum>
  <w:abstractNum w:abstractNumId="3" w15:restartNumberingAfterBreak="0">
    <w:multiLevelType w:val="hybridMultilevel"/>
    <w:lvl w:ilvl="0" w15:tentative="1">
      <w:start w:val="1"/>
      <w:numFmt w:val="decimal"/>
      <w:lvlText w:val="%1."/>
      <w:lvlJc w:val="left"/>
      <w:pPr>
        <w:ind w:left="400" w:hanging="2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pPr>
        <w:spacing w:line="264"/>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pBdr>
        <w:bottom w:val="single" w:color="1F3864" w:sz="8" w:space="6"/>
      </w:pBdr>
      <w:spacing w:after="180" w:before="400"/>
    </w:pPr>
    <w:rPr>
      <w:rFonts w:ascii="Calibri" w:cs="Calibri" w:eastAsia="Calibri" w:hAnsi="Calibri"/>
      <w:b/>
      <w:bCs/>
      <w:color w:val="1F3864"/>
      <w:sz w:val="34"/>
      <w:szCs w:val="34"/>
    </w:rPr>
  </w:style>
  <w:style w:type="paragraph" w:styleId="Heading2">
    <w:name w:val="Heading 2"/>
    <w:basedOn w:val="Normal"/>
    <w:next w:val="Normal"/>
    <w:qFormat/>
    <w:pPr>
      <w:spacing w:after="140" w:before="320"/>
    </w:pPr>
    <w:rPr>
      <w:rFonts w:ascii="Calibri" w:cs="Calibri" w:eastAsia="Calibri" w:hAnsi="Calibri"/>
      <w:b/>
      <w:bCs/>
      <w:color w:val="2E5C8A"/>
      <w:sz w:val="26"/>
      <w:szCs w:val="26"/>
    </w:rPr>
  </w:style>
  <w:style w:type="paragraph" w:styleId="Heading3">
    <w:name w:val="Heading 3"/>
    <w:basedOn w:val="Normal"/>
    <w:next w:val="Normal"/>
    <w:qFormat/>
    <w:pPr>
      <w:spacing w:after="100" w:before="240"/>
    </w:pPr>
    <w:rPr>
      <w:rFonts w:ascii="Calibri" w:cs="Calibri" w:eastAsia="Calibri" w:hAnsi="Calibri"/>
      <w:b/>
      <w:bCs/>
      <w:color w:val="2A2A2A"/>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Model — QA Requirements &amp; Testing Reference</dc:title>
  <dc:creator>Finance Model project</dc:creator>
  <dc:description>Requirements and testing reference for the Finance Model application, V2.5.</dc:description>
  <cp:lastModifiedBy>Un-named</cp:lastModifiedBy>
  <cp:revision>1</cp:revision>
  <dcterms:created xsi:type="dcterms:W3CDTF">2026-08-23T10:29:59.447Z</dcterms:created>
  <dcterms:modified xsi:type="dcterms:W3CDTF">2026-08-23T10:29:59.457Z</dcterms:modified>
</cp:coreProperties>
</file>

<file path=docProps/custom.xml><?xml version="1.0" encoding="utf-8"?>
<Properties xmlns="http://schemas.openxmlformats.org/officeDocument/2006/custom-properties" xmlns:vt="http://schemas.openxmlformats.org/officeDocument/2006/docPropsVTypes"/>
</file>